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PROK — ProKidney Corp.</w:t>
      </w:r>
    </w:p>
    <w:p>
      <w:r>
        <w:rPr>
          <w:i/>
          <w:color w:val="444444"/>
          <w:sz w:val="22"/>
        </w:rPr>
        <w:t>Health Care / Regenerative cell therapy (CKD)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$502.0M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$150.0M (29.9%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The Q2 2026 10-Q (filed Aug 10, 2026) states that cash, equivalents and marketable securities of $181.6M will not fund operations for the 12 months after filing, and that this raises substantial doubt about continuing as a going concern. Cash fell from $270.0M at year-end 2025 to $181.6M (about $43M burned in Q2); management guides to runway into mid-2027. No equity raise was found in 2026; the last public deal was June 2024.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the PROACT 1 pivotal program through the Q2 2027 eGFR-slope topline and the accelerated-approval filing that follows, extending runway roughly 12+ months beyond the readout. $150M is our estimate, about 3.5 quarters of current burn.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PROACT 1 enrollment for the accelerated-approval analysis is complete and eGFR-slope topline is guided to Q2 2027, which is about the time the guided runway ends. Raising before the binary readout, while FDA alignment on the accelerated-approval path is fresh news, avoids financing at the readout date from a position of necessity.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Going-concern language is public, so the market already prices the need; the argument is to raise on the FDA-alignment narrative before the 12-month look-forward shrinks further. A raise now funds the company through the value-inflecting event instead of forcing a post-data raise at the mercy of the outcome. Roughly 30% dilution is large but typical for a pre-readout biotech.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Binary readout risk: if investors want to wait for data, appetite may be thin. The company may prefer an ATM or partnership (no ATM found, unverified). Roughly 30% dilution may be resisted. Going-concern wording is from the 10-Q as summarized by a third party and should be checked in the filing; debt status was not verified.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PROK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$502.0M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$150.0M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p>
      <w:r>
        <w:rPr>
          <w:i/>
          <w:color w:val="444444"/>
          <w:sz w:val="18"/>
        </w:rPr>
        <w:t>Note: Sized at ~3.5 quarters of burn, under the 40% 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