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Equity-Raise Candidate Research — Summary</w:t>
      </w:r>
    </w:p>
    <w:p>
      <w:r>
        <w:rPr>
          <w:i w:val="0"/>
          <w:sz w:val="22"/>
        </w:rPr>
        <w:t>Week of 2026-09-26</w:t>
      </w:r>
    </w:p>
    <w:p>
      <w:pPr>
        <w:spacing w:before="280" w:after="120"/>
      </w:pPr>
      <w:r>
        <w:rPr>
          <w:color w:val="2E74B5"/>
          <w:sz w:val="32"/>
        </w:rPr>
        <w:t>Keep Names — One-Pager Summary (Both Screens, Accumulated)</w:t>
      </w:r>
    </w:p>
    <w:p>
      <w:r>
        <w:rPr>
          <w:i w:val="0"/>
          <w:sz w:val="22"/>
        </w:rPr>
        <w:t>Every Keep name with a finished one-pager in this folder, across all batches researched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Mkt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Up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NAUT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$115.2M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$23.0M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IVVD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$243.5M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$90.0M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37.0%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BYND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$202.7M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32.1%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ATLX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$100.2M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2026-09-26 weekly run (Up-screen 18 candidates, Distress-screen 28 candidates)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TUSK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Q1 net income $4.7M, debt-free; using settlement proceeds to pay down debt, not raise equity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TISI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Recent Sept 2025 Series B preferred + warrants private placement (Stellex Capital) is a disqualifying stealth raise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NAUT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Genuine pre-revenue cash burn with ~22mo runway; opportunistic raise ahead of 2027 commercial launch while stock is up 36.9%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LXU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Highly profitable and FCF-positive ($32M Q2); financing preference is debt/capital-structure optimization, not equity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IPI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$185M cash; funded recent divestiture via asset sale, unused equity shelf despite being available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ZVRA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debt-free, $236.8M cash; recent capital need met via asset sale (SDX portfolio), not equity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BBCP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profitability_override confirmed current: profitable, dividend-initiated, refinanced debt to 2032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profitability_override confirmed current: profitable, dividend raised 36%, financed acquisition with debt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ATRC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profitable (Q2 net income $9.0M), expanding credit facility; no capital-need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PDEX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profitable, strong organic growth; no distress or capital-need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FIRY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ACTG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AOUT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CIX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CRSR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CTS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SENEB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XPEL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RARE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Real short runway (~13mo at current burn) but revealed preference for non-dilutive financing ($400M OMERS royalty deal) plus available debt capacity argues against an equity raise being urgent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BDTX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Debt-free with 24-30mo runway and no going-concern language; ample liquidity makes an equity raise non-urgent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IVVD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going-concern language, live Nasdaq delisting deficiency (cure deadline 1/19/27), ~11mo runway, no PIPE found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 going-concern signal; AUM growing +8% YoY, minimal traditional debt -- misses the distress profile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BRCC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FCF-positive and improving; delisting notice already cured (regained compliance 6/2/26); ample untapped revolver capacity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BYND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Serial capital actions (debt-for-equity swap, DDTL draws) have largely tapped incremental debt capacity; delisting cured via forced reverse split; further raises expected 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ATLX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going-concern language in 10-Q; $10.2M note maturity within 12 months; prior ATM/subsidiary raises this year did not resolve the need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ADTN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$319.2M unused revolver capacity untapped; positive OCF; no going-concern or delisting signal -- need not urgent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ENOV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$942M unused revolver capacity; improving margins; no going-concern or delisting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ARQ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Management states liquidity sufficient for next 12 months; near-breakeven with improving Adj. EBITDA; no going-concern flag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COOK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Delisting risk already cured via 1-for-50 reverse split; term loan maturity 20+ months out; undrawn revolver available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XLAB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going-concern language; ~$5-12M cash against $29.2M current liabilities post-SPAC-merger; imminent need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EVCM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$129M cash and $155M undrawn revolver; no urgency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YEXT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$379M total liquidity, minimal debt burden; no urgency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OLN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profitability_override confirmed current: cyclical Q1 loss but dividend maintained, $1.3B liquidity, debt refinanced to 2033 with no near-term maturity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EYE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PATK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ANIP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profitable with accelerating earnings ($54.2M YTD net income); decline appears sector-driven, not distress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MYGN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negative EBITDA but adequate liquidity ($115M cash, 2.4x current ratio); no going-concern or urgency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CCAP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RXST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unprofitable but $217.9M cash provides 12+ month cushion; no urgency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NRDY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MZTI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TPB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