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BYND — Beyond Meat Inc.</w:t>
      </w:r>
    </w:p>
    <w:p>
      <w:r>
        <w:rPr>
          <w:i/>
          <w:color w:val="444444"/>
          <w:sz w:val="22"/>
        </w:rPr>
        <w:t>Consumer Staples / Packaged Foods</w:t>
      </w:r>
    </w:p>
    <w:p>
      <w:r>
        <w:rPr>
          <w:b/>
          <w:sz w:val="22"/>
        </w:rPr>
        <w:t xml:space="preserve">Current Market Cap:  </w:t>
      </w:r>
      <w:r>
        <w:rPr>
          <w:sz w:val="22"/>
        </w:rPr>
        <w:t>$202.7M</w:t>
      </w:r>
    </w:p>
    <w:p>
      <w:r>
        <w:rPr>
          <w:b/>
          <w:sz w:val="22"/>
        </w:rPr>
        <w:t xml:space="preserve">Proposed Raise Size:  </w:t>
      </w:r>
      <w:r>
        <w:rPr>
          <w:sz w:val="22"/>
        </w:rPr>
        <w:t>$65.0M (32.1% of market cap)</w:t>
      </w:r>
    </w:p>
    <w:p>
      <w:pPr>
        <w:spacing w:before="200" w:after="80"/>
      </w:pPr>
      <w:r>
        <w:rPr>
          <w:color w:val="2E74B5"/>
          <w:sz w:val="26"/>
        </w:rPr>
        <w:t>Thesis</w:t>
      </w:r>
    </w:p>
    <w:p>
      <w:r>
        <w:rPr>
          <w:i w:val="0"/>
          <w:sz w:val="22"/>
        </w:rPr>
        <w:t>BYND has spent the last 15 months managing a genuine liquidity crisis through non-equity levers: a debt-for-equity swap on its 2030 notes, two Delayed Draw Term Loan draws under a May 2025 Loan &amp; Security Agreement ($40M and $60M), and ATM equity sales. Those actions bought time -- projected cash exhaustion is now roughly Q1 2028 -- but they also mean the company's remaining debt capacity under the LSA facility is largely tapped. The stock is down 84% over the trailing year, and the company was hit with a Nasdaq minimum-bid deficiency notice in March 2026 that it cured only by executing a forced 1-for-30 reverse split in August 2026, right at the edge of its compliance deadline. Management itself has signaled further capital raises are expected in 2027.</w:t>
      </w:r>
    </w:p>
    <w:p>
      <w:pPr>
        <w:spacing w:before="200" w:after="80"/>
      </w:pPr>
      <w:r>
        <w:rPr>
          <w:color w:val="2E74B5"/>
          <w:sz w:val="26"/>
        </w:rPr>
        <w:t>Use of Proceeds</w:t>
      </w:r>
    </w:p>
    <w:p>
      <w:r>
        <w:rPr>
          <w:i w:val="0"/>
          <w:sz w:val="22"/>
        </w:rPr>
        <w:t>Pay down a meaningful portion of the $110.9M in outstanding Delayed Draw Term Loans to reduce near-term debt service and interest burden, with the remainder funding continued operating losses through the next 12-18 months.</w:t>
      </w:r>
    </w:p>
    <w:p>
      <w:pPr>
        <w:spacing w:before="200" w:after="80"/>
      </w:pPr>
      <w:r>
        <w:rPr>
          <w:color w:val="2E74B5"/>
          <w:sz w:val="26"/>
        </w:rPr>
        <w:t>Timing</w:t>
      </w:r>
    </w:p>
    <w:p>
      <w:r>
        <w:rPr>
          <w:i w:val="0"/>
          <w:sz w:val="22"/>
        </w:rPr>
        <w:t>There is no single bright-line maturity forcing this, but the combination of a largely tapped incremental-debt facility, ongoing negative FCF, and management's own guidance toward more 2027 capital activity means the company is working against a shrinking set of non-dilutive options -- better to raise on the company's own timeline than be forced into a worse one.</w:t>
      </w:r>
    </w:p>
    <w:p>
      <w:pPr>
        <w:spacing w:before="200" w:after="80"/>
      </w:pPr>
      <w:r>
        <w:rPr>
          <w:color w:val="2E74B5"/>
          <w:sz w:val="26"/>
        </w:rPr>
        <w:t>Why Raise Now</w:t>
      </w:r>
    </w:p>
    <w:p>
      <w:r>
        <w:rPr>
          <w:i w:val="0"/>
          <w:sz w:val="22"/>
        </w:rPr>
        <w:t>The alternative to raising now is continuing to draw down an already-strained debt facility or waiting for the next Nasdaq compliance scare -- both of which cost more in flexibility and negotiating leverage than dilution does today. A rescue-oriented investor may find the entry attractive precisely because the reverse split and prior debt-for-equity actions have already absorbed much of the near-term restructuring pain; new capital would come in behind that cleanup rather than ahead of it.</w:t>
      </w:r>
    </w:p>
    <w:p>
      <w:pPr>
        <w:spacing w:before="200" w:after="80"/>
      </w:pPr>
      <w:r>
        <w:rPr>
          <w:color w:val="2E74B5"/>
          <w:sz w:val="26"/>
        </w:rPr>
        <w:t>Risks to the Pitch</w:t>
      </w:r>
    </w:p>
    <w:p>
      <w:r>
        <w:rPr>
          <w:i w:val="0"/>
          <w:sz w:val="22"/>
        </w:rPr>
        <w:t>Investor appetite for a company that just executed a forced reverse split and is still FCF-negative will be limited to specialists in distressed consumer names, and any deal will likely require structure (warrants, board seats, or further debt subordination changes) beyond a plain equity check. Existing lenders under the LSA facility may hold consent rights over new capital raises that complicate execution. There is also a real chance the company simply continues to muddle through on ATM issuance rather than doing a discrete raise, given that path requires no new negotiation.</w:t>
      </w:r>
    </w:p>
    <w:p>
      <w:pPr>
        <w:spacing w:before="200" w:after="80"/>
      </w:pPr>
      <w:r>
        <w:rPr>
          <w:color w:val="2E74B5"/>
          <w:sz w:val="26"/>
        </w:rPr>
        <w:t>Summary</w:t>
      </w:r>
    </w:p>
    <w:tbl>
      <w:tblPr>
        <w:tblW w:type="auto" w:w="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Market Cap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Raise Size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% of Market Cap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Urgency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BYND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$202.7M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$65.0M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32.1%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Medium-High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