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IVVD — Invivyd Inc.</w:t>
      </w:r>
    </w:p>
    <w:p>
      <w:r>
        <w:rPr>
          <w:i/>
          <w:color w:val="444444"/>
          <w:sz w:val="22"/>
        </w:rPr>
        <w:t>Health Care / Biotechnology: Biological Products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$243.5M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$90.0M (37.0%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IVVD's most recent 10-Q (period ended 3/31/26) contains explicit going-concern language -- substantial doubt about the company's ability to continue operating beyond one year. Cash was $160.1M as of 6/30/26 against quarterly burn of roughly $41-44M, implying well under a year of runway at the current rate. The company also received a Nasdaq minimum-bid-price deficiency notice on 7/23/26, with a compliance cure deadline of 1/19/27. No PIPE or other stealth raise was found in the past six months, and the balance sheet carries only $8.4M of debt, so there is no untapped debt capacity to point to instead -- the capital need is real, current, and has essentially only one financing lever left.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Fund operations through and past the DECLARATION trial readout (expected late Q3 2026), extending runway beyond the one-year going-concern threshold the auditors flagged and covering commercial-scale-up costs if the readout is positive.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Two hard clocks converge here: the going-concern disclosure requires the company to demonstrate a credible funding plan covering at least the next twelve months, and the Nasdaq compliance cure period runs to 1/19/27 -- both need to be resolved well before they force more drastic action (a reverse split, or worse).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For a company that has already disclosed going-concern doubt and a delisting deficiency, the alternative to a dilutive raise is not a better-priced future raise -- it's a deepening credibility problem with both the exchange and the auditors. A rescue-oriented or crossover biotech investor may still find the entry attractive given the near-term DECLARATION readout, since a positive result would substantially re-rate the stock and the raise can be structured to let a new investor capture that upside.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Investor appetite for a going-concern-flagged microcap biotech is inherently thin, and any raise at current depressed prices will be heavily dilutive to existing holders. If the DECLARATION trial reads out negatively before a raise closes, the financing window could close entirely rather than just get more expensive. The Nasdaq compliance issue could alternatively be cured via a reverse split without new capital, which would remove one of the two urgency drivers but would not address the underlying cash burn.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$90.0M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37.0%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