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Weekly Equity-Raise Candidate Research — Summary</w:t>
      </w:r>
    </w:p>
    <w:p>
      <w:pPr>
        <w:spacing w:after="240"/>
      </w:pPr>
      <w:r>
        <w:rPr>
          <w:i/>
          <w:iCs/>
          <w:sz w:val="22"/>
          <w:szCs w:val="22"/>
        </w:rPr>
        <w:t xml:space="preserve">Week of 2026-08-30</w:t>
      </w:r>
    </w:p>
    <w:p>
      <w:pPr>
        <w:spacing w:after="160"/>
      </w:pPr>
      <w:r>
        <w:t xml:space="preserve">This week's screen produced 33 candidates in weekly-lists/candidates.csv. Of those, 27 scored at or above the capital_need_score research threshold of 15 and received full deep research; 2 additional names below the threshold (AMPX, HNST) were spot-checked because a specific component looked interesting; the remaining 4 (KINS, MLR, RCMT, SENEA) were not researched. Of the 27 fully researched names, 3 met the bar for a Keep and moved forward to a one-pager: TKNO, AVIR, and GLSI. 5 names were sorted Ambiguous (a real signal exists but is complicated by another factor) and were not promoted to a one-pager. The remaining 19 researched names, plus the 2 spot-checked names, were Dropped.</w:t>
      </w:r>
    </w:p>
    <w:p>
      <w:pPr>
        <w:pStyle w:val="Heading1"/>
        <w:spacing w:after="160" w:before="280"/>
      </w:pPr>
      <w:r>
        <w:t xml:space="preserve">Keep Names — One-Pager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000"/>
        <w:gridCol w:w="1750"/>
      </w:tblGrid>
      <w:tr>
        <w:trPr>
          <w:tblHeader/>
        </w:trPr>
        <w:tc>
          <w:tcPr>
            <w:tcW w:type="dxa" w:w="1600"/>
            <w:shd w:fill="D9D9D9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Ticker</w:t>
            </w:r>
          </w:p>
        </w:tc>
        <w:tc>
          <w:tcPr>
            <w:tcW w:type="dxa" w:w="2000"/>
            <w:shd w:fill="D9D9D9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Market Cap</w:t>
            </w:r>
          </w:p>
        </w:tc>
        <w:tc>
          <w:tcPr>
            <w:tcW w:type="dxa" w:w="2000"/>
            <w:shd w:fill="D9D9D9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Raise Size</w:t>
            </w:r>
          </w:p>
        </w:tc>
        <w:tc>
          <w:tcPr>
            <w:tcW w:type="dxa" w:w="2000"/>
            <w:shd w:fill="D9D9D9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% of Market Cap</w:t>
            </w:r>
          </w:p>
        </w:tc>
        <w:tc>
          <w:tcPr>
            <w:tcW w:type="dxa" w:w="1750"/>
            <w:shd w:fill="D9D9D9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Urgency</w:t>
            </w:r>
          </w:p>
        </w:tc>
      </w:tr>
      <w:tr>
        <w:trPr>
          <w:tblHeader w:val="false"/>
        </w:trP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TKNO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$382.3M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$76.5M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17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Medium-High</w:t>
            </w:r>
          </w:p>
        </w:tc>
      </w:tr>
      <w:tr>
        <w:trPr>
          <w:tblHeader w:val="false"/>
        </w:trP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AVIR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$429.9M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$86.0M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17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GLSI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$230.0M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$46.0M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17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240"/>
      </w:pPr>
    </w:p>
    <w:p>
      <w:pPr>
        <w:pStyle w:val="Heading1"/>
        <w:spacing w:after="160" w:before="280"/>
      </w:pPr>
      <w:r>
        <w:t xml:space="preserve">Full Disposition — Every Candidate in This Week's Screen</w:t>
      </w:r>
    </w:p>
    <w:p>
      <w:pPr>
        <w:spacing w:after="160"/>
      </w:pPr>
      <w:r>
        <w:t xml:space="preserve">One row per candidate in weekly-lists/candidates.csv, ordered by capital_need_score descending, as an audit trail for the full list.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500"/>
        <w:gridCol w:w="6250"/>
      </w:tblGrid>
      <w:tr>
        <w:trPr>
          <w:tblHeader/>
        </w:trPr>
        <w:tc>
          <w:tcPr>
            <w:tcW w:type="dxa" w:w="900"/>
            <w:shd w:fill="D9D9D9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Ticker</w:t>
            </w:r>
          </w:p>
        </w:tc>
        <w:tc>
          <w:tcPr>
            <w:tcW w:type="dxa" w:w="700"/>
            <w:shd w:fill="D9D9D9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  <w:tc>
          <w:tcPr>
            <w:tcW w:type="dxa" w:w="1500"/>
            <w:shd w:fill="D9D9D9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Disposition</w:t>
            </w:r>
          </w:p>
        </w:tc>
        <w:tc>
          <w:tcPr>
            <w:tcW w:type="dxa" w:w="6250"/>
            <w:shd w:fill="D9D9D9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TBI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67.8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Ambiguous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liquidity stress (thin cash, revolver draw) but a board-sanctioned, Barclays-run M&amp;A/divestiture process could resolve the need without equity issuance; activist overhang complicates timing.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SMC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53.5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Profitable this quarter; management stated an explicit debt-first capital-allocation order and a historical preference for preferred equity/units over common stock.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TKNO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48.2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Covenant-driven minimum-cash cushion, term loan matures May 2027, accelerating revenue growth supports a growth-capital raise.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AVIR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45.5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Opportunistic raise-on-strength after a Phase 3 win; NDA submission targeted for Q2 2027.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GLSI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45.5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Going-concern doubt disclosed, sub-12-month runway, actively enrolling 750-patient Phase 3 trial.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FF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45.0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Profitable, dividend-paying, essentially debt-free; capex reflects normal biodiesel-plant reinvestment, not distress.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CBLL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33.2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$141M cash on hand, no urgent need; patent litigation is a cost overhang, not a financing driver.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MASS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33.2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$101.5M cash, no debt, multi-year runway, approaching a profitability inflection point.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RDIB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32.5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Ambiguous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Severe balance-sheet distress is real, but the revealed preference is asset sales/debt refinancing, plus a family-control overhang that argues against a dilutive equity raise.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PNRG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32.0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Debt-free with a fully undrawn credit facility; running a large ongoing share buyback program.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TNDM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32.0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 burn is real, but the company closed a $265M convertible note (144A) with capped calls in Feb 2026 — a hard, disqualifying stealth financing already exercised.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SSP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30.2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Ambiguous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Genuine preferred-stock overhang and unpaid preferred dividends, but the revealed preference is debt refinancing/asset sales; the acute liquidity wall was already resolved by a 2025 secured-notes offering.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IA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28.2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Profitable and growing; funded its most recent acquisition with a new term loan rather than equity; large unused shelf shows no sign of activation.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SRTA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28.2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Ambiguous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 is declining due to an active M&amp;A pace, but the company remains well-capitalized from a legacy divestiture and holds an undrawn ABL revolver; no forcing near-term catalyst.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VISN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28.2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Post-divestiture and debt-free after a $10.5B asset sale; already paid a $10.00/share special dividend.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BLMN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25.0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profitability_override confirmed current — profitable, self-funding an organic deleveraging plan.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KRO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25.0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profitability_override confirmed current; also ~95%-controlled by Contran/Valhi/NL Industries, structurally impractical for a third-party equity pitch.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25.0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profitability_override confirmed current — net-cash balance sheet and an active dividend payer.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USDE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24.5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 an $890M PIPE in 2025 to fund an ENA token treasury — a hard, disqualifying stealth raise invisible to the registered-offering screen.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MTW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24.2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Profitable; net leverage fell from 4.0x to 2.6x; management is now pursuing buybacks and M&amp;A rather than capital raises.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PMTS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24.2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FCF-generative; voluntarily redeemed 10% of its senior notes in July 2026 — a clear revealed preference for debt paydown over any capital-markets action.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IBTA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19.0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 drawn debt, positive free cash flow; spent $70.8M on share buybacks in H1 2026 instead of raising capital.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DCTH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18.2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Ambiguous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 and profitability are improving (guiding to positive full-year adjusted EBITDA); a real long-run pipeline capital need exists, but there is no near-term dated catalyst to justify raise timing now.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LIND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18.2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Refinanced into $675M of secured notes maturing 2030 during 2026; healthy cash balance and full covenant compliance.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SXC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18.2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profitability_override confirmed current — just declared its 28th consecutive quarterly dividend.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PAYS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18.0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Profitable and accelerating, with zero bank debt.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PUBM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18.0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$137.5M cash, no debt, and actively retiring shares ($211.4M cumulative buybacks).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AMPX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14.3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Spot-checked due to an exhausted ATM facility. Cash actually grew ($62.4M to $74.5M quarter over quarter), net loss narrowed 20% YoY, and guidance was raised on a low-capex contract-manufacturing model; the ATM exhaustion the score flagged is stale (Dec 2025) and superseded by improving fundamentals.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HNST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13.2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Spot-checked. Profitable, $105.9M cash, zero debt, and actively repurchasing stock.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KINS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13.2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researched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Score below research threshold.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MLR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13.2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researched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Score below research threshold.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RCMT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13.2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researched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Score below research threshold.</w:t>
            </w:r>
          </w:p>
        </w:tc>
      </w:tr>
      <w:tr>
        <w:trPr>
          <w:tblHeader w:val="false"/>
        </w:trP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SENEA</w:t>
            </w:r>
          </w:p>
        </w:tc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13.2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researched</w:t>
            </w:r>
          </w:p>
        </w:tc>
        <w:tc>
          <w:tcPr>
            <w:tcW w:type="dxa" w:w="625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Score below research threshold.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2026-08-30T19:10:56.845Z</dcterms:created>
  <dcterms:modified xsi:type="dcterms:W3CDTF">2026-08-30T19:10:56.845Z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