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AVIR — Atea Pharmaceuticals Inc.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Health Care / Biotechnology: Pharmaceutical Preparations</w:t>
      </w:r>
    </w:p>
    <w:p>
      <w:pPr>
        <w:spacing w:after="60"/>
      </w:pPr>
      <w:r>
        <w:rPr>
          <w:b/>
          <w:bCs/>
        </w:rPr>
        <w:t xml:space="preserve">Current Market Cap: </w:t>
      </w:r>
      <w:r>
        <w:t xml:space="preserve">$429.9M</w:t>
      </w:r>
    </w:p>
    <w:p>
      <w:pPr>
        <w:pBdr>
          <w:bottom w:val="single" w:color="999999" w:sz="6" w:space="4"/>
        </w:pBdr>
        <w:spacing w:after="200"/>
      </w:pPr>
      <w:r>
        <w:rPr>
          <w:b/>
          <w:bCs/>
        </w:rPr>
        <w:t xml:space="preserve">Proposed Raise Size: </w:t>
      </w:r>
      <w:r>
        <w:t xml:space="preserve">$86.0M (20% of market cap)</w:t>
      </w:r>
    </w:p>
    <w:p>
      <w:pPr>
        <w:pStyle w:val="Heading2"/>
        <w:spacing w:after="120" w:before="240"/>
      </w:pPr>
      <w:r>
        <w:t xml:space="preserve">Thesis</w:t>
      </w:r>
    </w:p>
    <w:p>
      <w:pPr>
        <w:spacing w:after="160"/>
      </w:pPr>
      <w:r>
        <w:t xml:space="preserve">Atea is not a liquidity-crisis story today — cash was $219.5 million at Q2 2026 (down from $256.0 million in Q1 2026), the company carries no debt, pays no dividend, and management has guided to a cash runway through 2027. The capital-need signal here is forward-looking: bemnifosbuvir/ruzasvir, Atea's lead hepatitis C combination, just achieved both primary and secondary non-inferiority endpoints in the Phase 3 C-BEYOND trial versus sofosbuvir/velpatasvir (announced approximately August 12, 2026), prompting Morgan Stanley to raise its price target to $7 from $6 — yet the stock still trades near $5.25, well below the company's own long-run commercial revenue estimate of $700 million-plus in peak U.S. sales. Burn is set to accelerate materially as the company transitions from R&amp;D-stage spending into NDA preparation and pre-commercial infrastructure buildout.</w:t>
      </w:r>
    </w:p>
    <w:p>
      <w:pPr>
        <w:pStyle w:val="Heading2"/>
        <w:spacing w:after="120" w:before="240"/>
      </w:pPr>
      <w:r>
        <w:t xml:space="preserve">Use of Proceeds</w:t>
      </w:r>
    </w:p>
    <w:p>
      <w:pPr>
        <w:spacing w:after="160"/>
      </w:pPr>
      <w:r>
        <w:t xml:space="preserve">Proceeds would fund the NDA submission process and pre-commercial infrastructure buildout for bemnifosbuvir/ruzasvir ahead of a planned mid-2028 U.S. launch, alongside continued development of the newly initiated Phase 1 hepatitis E program (AT-587), which dosed its first patient in July 2026.</w:t>
      </w:r>
    </w:p>
    <w:p>
      <w:pPr>
        <w:pStyle w:val="Heading2"/>
        <w:spacing w:after="120" w:before="240"/>
      </w:pPr>
      <w:r>
        <w:t xml:space="preserve">Timing</w:t>
      </w:r>
    </w:p>
    <w:p>
      <w:pPr>
        <w:spacing w:after="160"/>
      </w:pPr>
      <w:r>
        <w:t xml:space="preserve">NDA submission for bemnifosbuvir/ruzasvir is anticipated in Q2 2027, and a second pivotal readout (the C-FORWARD trial) is expected by year-end 2026 — both dated, de-risking events that precede the commercial buildout spend that will draw down the current cash cushion.</w:t>
      </w:r>
    </w:p>
    <w:p>
      <w:pPr>
        <w:pStyle w:val="Heading2"/>
        <w:spacing w:after="120" w:before="240"/>
      </w:pPr>
      <w:r>
        <w:t xml:space="preserve">Why Raise Now</w:t>
      </w:r>
    </w:p>
    <w:p>
      <w:pPr>
        <w:spacing w:after="160"/>
      </w:pPr>
      <w:r>
        <w:t xml:space="preserve">The market-facing argument is to raise into strength: Atea just cleared its pivotal Phase 3 endpoint and picked up an analyst price-target upgrade, giving it more negotiating leverage with investors today than it will have once commercial-launch spending has visibly eaten into the cash runway. Raising opportunistically after de-risking data, rather than reactively as the runway shortens, should produce a less dilutive outcome.</w:t>
      </w:r>
    </w:p>
    <w:p>
      <w:pPr>
        <w:pStyle w:val="Heading2"/>
        <w:spacing w:after="120" w:before="240"/>
      </w:pPr>
      <w:r>
        <w:t xml:space="preserve">Risks to the Pitch</w:t>
      </w:r>
    </w:p>
    <w:p>
      <w:pPr>
        <w:spacing w:after="160"/>
      </w:pPr>
      <w:r>
        <w:t xml:space="preserve">There is no acute funding emergency — management has guided to runway through 2027 — which weakens the "why now" urgency argument and leaves room for the company to simply wait for a higher share price. The stock also remains sub-$6 despite the good news, meaning any raise executed today would still be dilutive relative to the company's own long-term valuation case.</w:t>
      </w:r>
    </w:p>
    <w:p>
      <w:pPr>
        <w:pStyle w:val="Heading2"/>
        <w:spacing w:after="120" w:before="240"/>
      </w:pPr>
      <w:r>
        <w:t xml:space="preserve">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187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187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Raise Size</w:t>
            </w:r>
          </w:p>
        </w:tc>
        <w:tc>
          <w:tcPr>
            <w:tcW w:type="dxa" w:w="187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% of Market Cap</w:t>
            </w:r>
          </w:p>
        </w:tc>
        <w:tc>
          <w:tcPr>
            <w:tcW w:type="dxa" w:w="187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Urgency</w:t>
            </w:r>
          </w:p>
        </w:tc>
      </w:tr>
      <w:tr>
        <w:tc>
          <w:tcPr>
            <w:tcW w:type="dxa" w:w="1870"/>
            <w:vAlign w:val="center"/>
          </w:tcPr>
          <w:p>
            <w:r>
              <w:rPr>
                <w:b w:val="false"/>
                <w:bCs w:val="false"/>
              </w:rPr>
              <w:t xml:space="preserve">AVIR</w:t>
            </w:r>
          </w:p>
        </w:tc>
        <w:tc>
          <w:tcPr>
            <w:tcW w:type="dxa" w:w="1870"/>
            <w:vAlign w:val="center"/>
          </w:tcPr>
          <w:p>
            <w:r>
              <w:rPr>
                <w:b w:val="false"/>
                <w:bCs w:val="false"/>
              </w:rPr>
              <w:t xml:space="preserve">$429.9M</w:t>
            </w:r>
          </w:p>
        </w:tc>
        <w:tc>
          <w:tcPr>
            <w:tcW w:type="dxa" w:w="1870"/>
            <w:vAlign w:val="center"/>
          </w:tcPr>
          <w:p>
            <w:r>
              <w:rPr>
                <w:b w:val="false"/>
                <w:bCs w:val="false"/>
              </w:rPr>
              <w:t xml:space="preserve">$86.0M</w:t>
            </w:r>
          </w:p>
        </w:tc>
        <w:tc>
          <w:tcPr>
            <w:tcW w:type="dxa" w:w="1870"/>
            <w:vAlign w:val="center"/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187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2026-08-30T19:10:11.125Z</dcterms:created>
  <dcterms:modified xsi:type="dcterms:W3CDTF">2026-08-30T19:10:11.125Z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