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GLSI — Greenwich LifeSciences Inc.</w:t>
      </w:r>
    </w:p>
    <w:p>
      <w:pPr>
        <w:spacing w:after="160"/>
      </w:pPr>
      <w:r>
        <w:rPr>
          <w:i/>
          <w:iCs/>
          <w:sz w:val="22"/>
          <w:szCs w:val="22"/>
        </w:rPr>
        <w:t xml:space="preserve">Health Care / Biotechnology: Pharmaceutical Preparations</w:t>
      </w:r>
    </w:p>
    <w:p>
      <w:pPr>
        <w:spacing w:after="60"/>
      </w:pPr>
      <w:r>
        <w:rPr>
          <w:b/>
          <w:bCs/>
        </w:rPr>
        <w:t xml:space="preserve">Current Market Cap: </w:t>
      </w:r>
      <w:r>
        <w:t xml:space="preserve">$230.0M</w:t>
      </w:r>
    </w:p>
    <w:p>
      <w:pPr>
        <w:pBdr>
          <w:bottom w:val="single" w:color="999999" w:sz="6" w:space="4"/>
        </w:pBdr>
        <w:spacing w:after="200"/>
      </w:pPr>
      <w:r>
        <w:rPr>
          <w:b/>
          <w:bCs/>
        </w:rPr>
        <w:t xml:space="preserve">Proposed Raise Size: </w:t>
      </w:r>
      <w:r>
        <w:t xml:space="preserve">$46.0M (20% of market cap)</w:t>
      </w:r>
    </w:p>
    <w:p>
      <w:pPr>
        <w:pStyle w:val="Heading2"/>
        <w:spacing w:after="120" w:before="240"/>
      </w:pPr>
      <w:r>
        <w:t xml:space="preserve">Thesis</w:t>
      </w:r>
    </w:p>
    <w:p>
      <w:pPr>
        <w:spacing w:after="160"/>
      </w:pPr>
      <w:r>
        <w:t xml:space="preserve">Greenwich LifeSciences is the clearest capital-need case researched this cycle. The company's own 10-Q discloses substantial doubt about its ability to continue as a going concern. Cash was only $10.5 million at Q1 2026 and fell to approximately $8.9 million by Q2 2026 against a burn rate of roughly $2–4 million per quarter — sub-twelve-month runway without continued fundraising. The company is not profitable and pays no dividend, and is mid-enrollment in a 750-patient global Phase 3 trial (FLAMINGO-01) that runs three years of treatment plus one year of follow-up, meaning the capital need recurs over multiple years, not just once.</w:t>
      </w:r>
    </w:p>
    <w:p>
      <w:pPr>
        <w:pStyle w:val="Heading2"/>
        <w:spacing w:after="120" w:before="240"/>
      </w:pPr>
      <w:r>
        <w:t xml:space="preserve">Use of Proceeds</w:t>
      </w:r>
    </w:p>
    <w:p>
      <w:pPr>
        <w:spacing w:after="160"/>
      </w:pPr>
      <w:r>
        <w:t xml:space="preserve">Proceeds would continue funding the FLAMINGO-01 Phase III trial of GLSI-100 (GP2 plus GM-CSF) in HER2-positive breast cancer, including activation of European trial sites now that the EMA has approved use of commercially manufactured GP2 drug product.</w:t>
      </w:r>
    </w:p>
    <w:p>
      <w:pPr>
        <w:pStyle w:val="Heading2"/>
        <w:spacing w:after="120" w:before="240"/>
      </w:pPr>
      <w:r>
        <w:t xml:space="preserve">Timing</w:t>
      </w:r>
    </w:p>
    <w:p>
      <w:pPr>
        <w:spacing w:after="160"/>
      </w:pPr>
      <w:r>
        <w:t xml:space="preserve">The trial's Data Safety Monitoring Board reviewed the study in May 2026 and recommended continuing without modification, and enrollment is accelerating — management cited a 122% increase in the enrollment rate. That combination makes now the natural point to fund the next tranche of trial costs as the European rollout ramps up.</w:t>
      </w:r>
    </w:p>
    <w:p>
      <w:pPr>
        <w:pStyle w:val="Heading2"/>
        <w:spacing w:after="120" w:before="240"/>
      </w:pPr>
      <w:r>
        <w:t xml:space="preserve">Why Raise Now</w:t>
      </w:r>
    </w:p>
    <w:p>
      <w:pPr>
        <w:spacing w:after="160"/>
      </w:pPr>
      <w:r>
        <w:t xml:space="preserve">Management is already telegraphing capital needs to the market quarter to quarter through dedicated press releases on financing strategy and burn rate, and investors are already pricing in continuous, incremental dilution via the company's existing at-the-market (ATM) facility. A single larger, more efficient institutional raise, priced off positive DSMB and enrollment news, would let the company get ahead of that dilution narrative rather than bleeding it out via daily ATM sales.</w:t>
      </w:r>
    </w:p>
    <w:p>
      <w:pPr>
        <w:pStyle w:val="Heading2"/>
        <w:spacing w:after="120" w:before="240"/>
      </w:pPr>
      <w:r>
        <w:t xml:space="preserve">Risks to the Pitch</w:t>
      </w:r>
    </w:p>
    <w:p>
      <w:pPr>
        <w:spacing w:after="160"/>
      </w:pPr>
      <w:r>
        <w:t xml:space="preserve">The company already has a live, actively-used ATM facility with H.C. Wainwright (approximately $9.6 million gross raised in H1 2026 alone), so any new advisory-led raise would need to displace or work alongside an entrenched incumbent banking relationship. The going-concern disclosure itself is a red flag that can suppress institutional demand and could force pricing at a discount despite positive trial news. Raise size is also capped at roughly $46.0 million by the 20%-of-market-cap sizing rule, under the informal $50 million floor that would normally apply to a pitch of this kind — the size was kept as-is here given the strength of the underlying thesis, but it may still limit interest from larger institutional investors.</w:t>
      </w:r>
    </w:p>
    <w:p>
      <w:pPr>
        <w:pStyle w:val="Heading2"/>
        <w:spacing w:after="120" w:before="240"/>
      </w:pPr>
      <w:r>
        <w:t xml:space="preserve">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D9D9D9" w:val="clear"/>
            <w:vAlign w:val="center"/>
          </w:tcPr>
          <w:p>
            <w:r>
              <w:rPr>
                <w:b/>
                <w:bCs/>
              </w:rPr>
              <w:t xml:space="preserve">Ticker</w:t>
            </w:r>
          </w:p>
        </w:tc>
        <w:tc>
          <w:tcPr>
            <w:tcW w:type="dxa" w:w="1870"/>
            <w:shd w:fill="D9D9D9" w:val="clear"/>
            <w:vAlign w:val="center"/>
          </w:tcPr>
          <w:p>
            <w:r>
              <w:rPr>
                <w:b/>
                <w:bCs/>
              </w:rPr>
              <w:t xml:space="preserve">Market Cap</w:t>
            </w:r>
          </w:p>
        </w:tc>
        <w:tc>
          <w:tcPr>
            <w:tcW w:type="dxa" w:w="1870"/>
            <w:shd w:fill="D9D9D9" w:val="clear"/>
            <w:vAlign w:val="center"/>
          </w:tcPr>
          <w:p>
            <w:r>
              <w:rPr>
                <w:b/>
                <w:bCs/>
              </w:rPr>
              <w:t xml:space="preserve">Raise Size</w:t>
            </w:r>
          </w:p>
        </w:tc>
        <w:tc>
          <w:tcPr>
            <w:tcW w:type="dxa" w:w="1870"/>
            <w:shd w:fill="D9D9D9" w:val="clear"/>
            <w:vAlign w:val="center"/>
          </w:tcPr>
          <w:p>
            <w:r>
              <w:rPr>
                <w:b/>
                <w:bCs/>
              </w:rPr>
              <w:t xml:space="preserve">% of Market Cap</w:t>
            </w:r>
          </w:p>
        </w:tc>
        <w:tc>
          <w:tcPr>
            <w:tcW w:type="dxa" w:w="1870"/>
            <w:shd w:fill="D9D9D9" w:val="clear"/>
            <w:vAlign w:val="center"/>
          </w:tcPr>
          <w:p>
            <w:r>
              <w:rPr>
                <w:b/>
                <w:bCs/>
              </w:rPr>
              <w:t xml:space="preserve">Urgency</w:t>
            </w:r>
          </w:p>
        </w:tc>
      </w:tr>
      <w:tr>
        <w:tc>
          <w:tcPr>
            <w:tcW w:type="dxa" w:w="1870"/>
            <w:vAlign w:val="center"/>
          </w:tcPr>
          <w:p>
            <w:r>
              <w:rPr>
                <w:b w:val="false"/>
                <w:bCs w:val="false"/>
              </w:rPr>
              <w:t xml:space="preserve">GLSI</w:t>
            </w:r>
          </w:p>
        </w:tc>
        <w:tc>
          <w:tcPr>
            <w:tcW w:type="dxa" w:w="1870"/>
            <w:vAlign w:val="center"/>
          </w:tcPr>
          <w:p>
            <w:r>
              <w:rPr>
                <w:b w:val="false"/>
                <w:bCs w:val="false"/>
              </w:rPr>
              <w:t xml:space="preserve">$230.0M</w:t>
            </w:r>
          </w:p>
        </w:tc>
        <w:tc>
          <w:tcPr>
            <w:tcW w:type="dxa" w:w="1870"/>
            <w:vAlign w:val="center"/>
          </w:tcPr>
          <w:p>
            <w:r>
              <w:rPr>
                <w:b w:val="false"/>
                <w:bCs w:val="false"/>
              </w:rPr>
              <w:t xml:space="preserve">$46.0M</w:t>
            </w:r>
          </w:p>
        </w:tc>
        <w:tc>
          <w:tcPr>
            <w:tcW w:type="dxa" w:w="1870"/>
            <w:vAlign w:val="center"/>
          </w:tcPr>
          <w:p>
            <w:r>
              <w:rPr>
                <w:b w:val="false"/>
                <w:bCs w:val="false"/>
              </w:rPr>
              <w:t xml:space="preserve">20%</w:t>
            </w:r>
          </w:p>
        </w:tc>
        <w:tc>
          <w:tcPr>
            <w:tcW w:type="dxa" w:w="1870"/>
            <w:vAlign w:val="center"/>
          </w:tcPr>
          <w:p>
            <w:r>
              <w:rPr>
                <w:b w:val="false"/>
                <w:bCs w:val="false"/>
              </w:rPr>
              <w:t xml:space="preserve">High</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2026-08-30T19:10:11.131Z</dcterms:created>
  <dcterms:modified xsi:type="dcterms:W3CDTF">2026-08-30T19:10:11.131Z</dcterms:modified>
</cp:coreProperties>
</file>

<file path=docProps/custom.xml><?xml version="1.0" encoding="utf-8"?>
<Properties xmlns="http://schemas.openxmlformats.org/officeDocument/2006/custom-properties" xmlns:vt="http://schemas.openxmlformats.org/officeDocument/2006/docPropsVTypes"/>
</file>