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TKNO — Alpha Teknova Inc.</w:t>
      </w:r>
    </w:p>
    <w:p>
      <w:pPr>
        <w:spacing w:after="160"/>
      </w:pPr>
      <w:r>
        <w:rPr>
          <w:i/>
          <w:iCs/>
          <w:sz w:val="22"/>
          <w:szCs w:val="22"/>
        </w:rPr>
        <w:t xml:space="preserve">Health Care / Biotechnology: In Vitro &amp; In Vivo Diagnostic Substances</w:t>
      </w:r>
    </w:p>
    <w:p>
      <w:pPr>
        <w:spacing w:after="60"/>
      </w:pPr>
      <w:r>
        <w:rPr>
          <w:b/>
          <w:bCs/>
        </w:rPr>
        <w:t xml:space="preserve">Current Market Cap: </w:t>
      </w:r>
      <w:r>
        <w:t xml:space="preserve">$382.3M</w:t>
      </w:r>
    </w:p>
    <w:p>
      <w:pPr>
        <w:pBdr>
          <w:bottom w:val="single" w:color="999999" w:sz="6" w:space="4"/>
        </w:pBdr>
        <w:spacing w:after="200"/>
      </w:pPr>
      <w:r>
        <w:rPr>
          <w:b/>
          <w:bCs/>
        </w:rPr>
        <w:t xml:space="preserve">Proposed Raise Size: </w:t>
      </w:r>
      <w:r>
        <w:t xml:space="preserve">$76.5M (20% of market cap)</w:t>
      </w:r>
    </w:p>
    <w:p>
      <w:pPr>
        <w:pStyle w:val="Heading2"/>
        <w:spacing w:after="120" w:before="240"/>
      </w:pPr>
      <w:r>
        <w:t xml:space="preserve">Thesis</w:t>
      </w:r>
    </w:p>
    <w:p>
      <w:pPr>
        <w:spacing w:after="160"/>
      </w:pPr>
      <w:r>
        <w:t xml:space="preserve">Alpha Teknova is a genuine, if not acute, capital-need case. Cash and short-term investments stood at $17.8 million as of Q1 2026 against a hard $10.0 million minimum-cash covenant under its MidCap Financial credit agreement, with a $13.2 million term loan outstanding — third-party estimates put runway at under twelve months at the current burn rate (trailing net loss of approximately $17.3 million; the company is not profitable and pays no dividend). The company already has an active, effective shelf registration in place. Revenue growth is real and accelerating (Q1 2026 revenue +13% year-over-year, Q2 2026 +18.5% year-over-year, on 2025 full-year revenue of $40.5 million), giving a growth-into-capacity narrative to pair with the balance-sheet need.</w:t>
      </w:r>
    </w:p>
    <w:p>
      <w:pPr>
        <w:pStyle w:val="Heading2"/>
        <w:spacing w:after="120" w:before="240"/>
      </w:pPr>
      <w:r>
        <w:t xml:space="preserve">Use of Proceeds</w:t>
      </w:r>
    </w:p>
    <w:p>
      <w:pPr>
        <w:spacing w:after="160"/>
      </w:pPr>
      <w:r>
        <w:t xml:space="preserve">Proceeds would support paydown or refinancing of the $52.1 million MidCap Financial term loan and fund working capital to build out custom GMP reagent manufacturing capacity as the company scales into growing biopharma and diagnostics demand for its custom media and reagent products.</w:t>
      </w:r>
    </w:p>
    <w:p>
      <w:pPr>
        <w:pStyle w:val="Heading2"/>
        <w:spacing w:after="120" w:before="240"/>
      </w:pPr>
      <w:r>
        <w:t xml:space="preserve">Timing</w:t>
      </w:r>
    </w:p>
    <w:p>
      <w:pPr>
        <w:spacing w:after="160"/>
      </w:pPr>
      <w:r>
        <w:t xml:space="preserve">The MidCap Financial term loan matures May 1, 2027 — roughly nine months from today — and revolver access under the same facility is conditioned on trailing-twelve-month revenue thresholds. That maturity date sets a hard, dated internal clock for addressing the balance sheet well before the facility comes due.</w:t>
      </w:r>
    </w:p>
    <w:p>
      <w:pPr>
        <w:pStyle w:val="Heading2"/>
        <w:spacing w:after="120" w:before="240"/>
      </w:pPr>
      <w:r>
        <w:t xml:space="preserve">Why Raise Now</w:t>
      </w:r>
    </w:p>
    <w:p>
      <w:pPr>
        <w:spacing w:after="160"/>
      </w:pPr>
      <w:r>
        <w:t xml:space="preserve">Alpha Teknova can currently frame a raise around accelerating revenue growth (high-teens year-over-year) and an already-effective shelf rather than a distressed, last-minute refinancing scramble closer to the May 2027 maturity wall. Raising ahead of the wall, while growth trends are visibly improving, should command better terms than waiting until the maturity is imminent and negotiating leverage has eroded.</w:t>
      </w:r>
    </w:p>
    <w:p>
      <w:pPr>
        <w:pStyle w:val="Heading2"/>
        <w:spacing w:after="120" w:before="240"/>
      </w:pPr>
      <w:r>
        <w:t xml:space="preserve">Risks to the Pitch</w:t>
      </w:r>
    </w:p>
    <w:p>
      <w:pPr>
        <w:spacing w:after="160"/>
      </w:pPr>
      <w:r>
        <w:t xml:space="preserve">The company's last capital raise (a concurrent registered-direct offering and private placement in September 2023) was priced at a heavily discounted $1.85 per share, signaling the existing investor base may again demand a highly dilutive structure. MidCap's covenants also constrain how proceeds can be used, pushing dollars toward minimum-cash compliance rather than pure growth capital expenditure, and the company remains loss-making, so the equity story still depends on execution of the manufacturing scale-up thesis rather than existing profitability.</w:t>
      </w:r>
    </w:p>
    <w:p>
      <w:pPr>
        <w:pStyle w:val="Heading2"/>
        <w:spacing w:after="120" w:before="240"/>
      </w:pPr>
      <w:r>
        <w:t xml:space="preserve">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D9D9D9" w:val="clear"/>
            <w:vAlign w:val="center"/>
          </w:tcPr>
          <w:p>
            <w:r>
              <w:rPr>
                <w:b/>
                <w:bCs/>
              </w:rPr>
              <w:t xml:space="preserve">Ticker</w:t>
            </w:r>
          </w:p>
        </w:tc>
        <w:tc>
          <w:tcPr>
            <w:tcW w:type="dxa" w:w="1870"/>
            <w:shd w:fill="D9D9D9" w:val="clear"/>
            <w:vAlign w:val="center"/>
          </w:tcPr>
          <w:p>
            <w:r>
              <w:rPr>
                <w:b/>
                <w:bCs/>
              </w:rPr>
              <w:t xml:space="preserve">Market Cap</w:t>
            </w:r>
          </w:p>
        </w:tc>
        <w:tc>
          <w:tcPr>
            <w:tcW w:type="dxa" w:w="1870"/>
            <w:shd w:fill="D9D9D9" w:val="clear"/>
            <w:vAlign w:val="center"/>
          </w:tcPr>
          <w:p>
            <w:r>
              <w:rPr>
                <w:b/>
                <w:bCs/>
              </w:rPr>
              <w:t xml:space="preserve">Raise Size</w:t>
            </w:r>
          </w:p>
        </w:tc>
        <w:tc>
          <w:tcPr>
            <w:tcW w:type="dxa" w:w="1870"/>
            <w:shd w:fill="D9D9D9" w:val="clear"/>
            <w:vAlign w:val="center"/>
          </w:tcPr>
          <w:p>
            <w:r>
              <w:rPr>
                <w:b/>
                <w:bCs/>
              </w:rPr>
              <w:t xml:space="preserve">% of Market Cap</w:t>
            </w:r>
          </w:p>
        </w:tc>
        <w:tc>
          <w:tcPr>
            <w:tcW w:type="dxa" w:w="1870"/>
            <w:shd w:fill="D9D9D9" w:val="clear"/>
            <w:vAlign w:val="center"/>
          </w:tcPr>
          <w:p>
            <w:r>
              <w:rPr>
                <w:b/>
                <w:bCs/>
              </w:rPr>
              <w:t xml:space="preserve">Urgency</w:t>
            </w:r>
          </w:p>
        </w:tc>
      </w:tr>
      <w:tr>
        <w:tc>
          <w:tcPr>
            <w:tcW w:type="dxa" w:w="1870"/>
            <w:vAlign w:val="center"/>
          </w:tcPr>
          <w:p>
            <w:r>
              <w:rPr>
                <w:b w:val="false"/>
                <w:bCs w:val="false"/>
              </w:rPr>
              <w:t xml:space="preserve">TKNO</w:t>
            </w:r>
          </w:p>
        </w:tc>
        <w:tc>
          <w:tcPr>
            <w:tcW w:type="dxa" w:w="1870"/>
            <w:vAlign w:val="center"/>
          </w:tcPr>
          <w:p>
            <w:r>
              <w:rPr>
                <w:b w:val="false"/>
                <w:bCs w:val="false"/>
              </w:rPr>
              <w:t xml:space="preserve">$382.3M</w:t>
            </w:r>
          </w:p>
        </w:tc>
        <w:tc>
          <w:tcPr>
            <w:tcW w:type="dxa" w:w="1870"/>
            <w:vAlign w:val="center"/>
          </w:tcPr>
          <w:p>
            <w:r>
              <w:rPr>
                <w:b w:val="false"/>
                <w:bCs w:val="false"/>
              </w:rPr>
              <w:t xml:space="preserve">$76.5M</w:t>
            </w:r>
          </w:p>
        </w:tc>
        <w:tc>
          <w:tcPr>
            <w:tcW w:type="dxa" w:w="1870"/>
            <w:vAlign w:val="center"/>
          </w:tcPr>
          <w:p>
            <w:r>
              <w:rPr>
                <w:b w:val="false"/>
                <w:bCs w:val="false"/>
              </w:rPr>
              <w:t xml:space="preserve">20%</w:t>
            </w:r>
          </w:p>
        </w:tc>
        <w:tc>
          <w:tcPr>
            <w:tcW w:type="dxa" w:w="1870"/>
            <w:vAlign w:val="center"/>
          </w:tcPr>
          <w:p>
            <w:r>
              <w:rPr>
                <w:b w:val="false"/>
                <w:bCs w:val="false"/>
              </w:rPr>
              <w:t xml:space="preserve">Medium-High</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2026-08-30T19:10:11.111Z</dcterms:created>
  <dcterms:modified xsi:type="dcterms:W3CDTF">2026-08-30T19:10:11.111Z</dcterms:modified>
</cp:coreProperties>
</file>

<file path=docProps/custom.xml><?xml version="1.0" encoding="utf-8"?>
<Properties xmlns="http://schemas.openxmlformats.org/officeDocument/2006/custom-properties" xmlns:vt="http://schemas.openxmlformats.org/officeDocument/2006/docPropsVTypes"/>
</file>