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Weekly Equity-Raise Candidate Research — Summary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Week of 2026-08-30</w:t>
      </w:r>
    </w:p>
    <w:p>
      <w:pPr>
        <w:pStyle w:val="Heading1"/>
        <w:spacing w:after="160" w:before="300"/>
      </w:pPr>
      <w:r>
        <w:t xml:space="preserve">Keep Names — One-Pager Summary (Both Screens, Accumulated)</w:t>
      </w:r>
    </w:p>
    <w:p>
      <w:pPr>
        <w:spacing w:after="160"/>
      </w:pPr>
      <w:r>
        <w:rPr>
          <w:sz w:val="21"/>
          <w:szCs w:val="21"/>
        </w:rPr>
        <w:t xml:space="preserve">Every Keep name with a finished one-pager in this folder, across all batches researched this week.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1600"/>
        <w:gridCol w:w="1600"/>
        <w:gridCol w:w="1600"/>
        <w:gridCol w:w="1900"/>
      </w:tblGrid>
      <w:tr>
        <w:tc>
          <w:tcPr>
            <w:tcW w:type="dxa" w:w="13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Market Cap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Raise Size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% of Mkt Cap</w:t>
            </w:r>
          </w:p>
        </w:tc>
        <w:tc>
          <w:tcPr>
            <w:tcW w:type="dxa" w:w="1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Urgency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PGEN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$2,488.3M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$497.7M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AVIR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$429.9M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GLSI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$230.0M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TKNO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$382.3M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$76.5M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ASLE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$268.7M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$75.0M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27.9%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YDES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$340.0M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10.3%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GUTS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$104.9M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33.4%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GETY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$105.9M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$42.4M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AMTX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$134.2M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$53.7M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JELD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$219.5M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$87.8M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</w:tbl>
    <w:p>
      <w:pPr>
        <w:pStyle w:val="Heading1"/>
        <w:spacing w:after="160" w:before="300"/>
      </w:pPr>
      <w:r>
        <w:t xml:space="preserve">Full Disposition — Earlier dry-run test (2026-08-30, single-candidate-per-screen test) + full prior run</w:t>
      </w:r>
    </w:p>
    <w:p>
      <w:pPr>
        <w:spacing w:after="160"/>
      </w:pPr>
      <w:r>
        <w:rPr>
          <w:i/>
          <w:iCs/>
          <w:color w:val="444444"/>
          <w:sz w:val="21"/>
          <w:szCs w:val="21"/>
        </w:rPr>
        <w:t xml:space="preserve">PGEN and ASLE came from an earlier same-day dry run (candidate lists briefly trimmed to one name per screen for a cheap routine test); AVIR, GLSI, and TKNO came from an earlier full run whose own 00_summary.docx disposition rows were later overwritten when the dry run regenerated this file (the one-pager .docx files themselves were preserved and are included in the Keep table above; their original disposition reasoning is no longer recoverable from this file). Preserved rows below are exactly as previously recorded, verbatim.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200"/>
        <w:gridCol w:w="5700"/>
      </w:tblGrid>
      <w:tr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2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57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PGEN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80.2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Thin/falling cash ($38.7M, down $18M in one quarter) and management's own end-2026 breakeven target is contingent on collecting a specific $71.9M AR balance; no recent (within-window) PIPE; mixed (not anti-equity) financing history; stock up 54% into a fresh FDA approval/launch.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ASLE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72.2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Revolver utilization jumped from 63% to 82% drawn in 8 months ($148.2M of $180M facility) with only $2.2M cash and $31.8M availability left, funding a real leasing-portfolio buildout; no going-concern or delisting language found, but debt capacity is genuinely close to tapped out. One-pager written.</w:t>
            </w:r>
          </w:p>
        </w:tc>
      </w:tr>
    </w:tbl>
    <w:p>
      <w:pPr>
        <w:pStyle w:val="Heading1"/>
        <w:spacing w:after="160" w:before="300"/>
      </w:pPr>
      <w:r>
        <w:t xml:space="preserve">Full Disposition — Batch 1 (9PM ET 8/30): up-screen (all remaining) + first 40 distress-screen names</w:t>
      </w:r>
    </w:p>
    <w:p>
      <w:pPr>
        <w:spacing w:after="160"/>
      </w:pPr>
      <w:r>
        <w:rPr>
          <w:i/>
          <w:iCs/>
          <w:color w:val="444444"/>
          <w:sz w:val="21"/>
          <w:szCs w:val="21"/>
        </w:rPr>
        <w:t xml:space="preserve">INV and INDP could not be verified against current filings this run because the session's web-search budget was exhausted after the other 53 names; they are flagged for a standalone follow-up rather than given a guessed disposition.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200"/>
        <w:gridCol w:w="5700"/>
      </w:tblGrid>
      <w:tr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2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57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LUNG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43.2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Not profitable but just drew $40M of a new $60M Perceptive debt facility (Mar 2026) and has an unused $200M shelf; revealed preference for debt, no dated equity catalyst.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RFL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Closed a $25M rights offering roughly 14 months ago (inside/borderline the 15-month primary-offering lookback) and already carries ~$688M of convertible debt; genuine H2-2026 NDA catalyst but recent equity history disqualifies.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36.3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one quarter of profitability and just raised $275M via convertible notes (Jun 2026) rather than common equity; revealed non-equity financing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NEOG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via a $160M asset sale (Genomics business to Zoetis, announced Mar 2026) to cut debt, not equity; adjusted-EBITDA profitable.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NCSM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32.2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Being acquired by Weatherford, closing ~Sept 1, 2026; an independent equity-raise thesis is moot with the deal imminent.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DWSN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32.2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Turned profitable in H1 2026 on 111% revenue growth and finances equipment via debt notes, not equity; no genuine capital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UFI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via a $60M real-estate asset sale (Aug 2026) to deleverage rather than equity;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TLYS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Ample liquidity ($41M cash, no ABL drawn, $50.7M undrawn) and improving profitability; no funding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DLTH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Debt-free with $141.3M net liquidity against a ~$140M market cap; no capital need of any kind.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BKD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profitability (Q2 net income $23.3M) and financed its balance sheet via ~$785M of 2026 debt refinancings,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ZYME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Ample cash ($322.5M, 8+ quarters of runway) and just took a $250M non-dilutive royalty-backed note from Royalty Pharma instead of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INTT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profitability in both Q1 and Q2 2026; no dividend override, but no genuine capital need either.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BWEN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through asset sales (Abilene facility sold Apr 2026, Manitowoc 2025) rather than equity;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ARQT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27.2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Cash growing ($238.9M) with positive Q2 operating cash flow and narrowing losses on strong ZORYVE sales; self-funding, no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DCO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25.8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Clearly profitable (Q2 net income $20.4M) and just arranged a new $650M credit facility (debt) for M&amp;A; revealed debt preference plus profitability.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KRUS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68.5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(Q3 FY26 net income), zero debt, $45M undrawn revolver; ample untapped capacity, no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EYPT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68.0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Real burn (~$43.5M/qtr) but $180.5M cash and management-guided runway to Q4 2027; no going-concern or delisting signal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PLAY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(Q1 net income $5.7M) with $499M total liquidity; the "going concern" language found is boilerplate risk-factor text, not an audit qualification.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BRCB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$3.2M), $25M undrawn revolver, flush from a $338M Sept-2025 IPO; ample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BTBT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64.0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Losses are non-cash digital-asset impairments; operating cash flow positive ($46.8M H1), cash $83.6M, convertible notes not due until 2030.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YDES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63.5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qualification in FY2025 20-F, only $6.0M cash against tripling opex, no debt, no in-window equity raise; genuine small-cap need.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GUTS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63.0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Explicit going-concern language in the Q2 2026 10-Q plus an imminent Nasdaq bid-price compliance deadline (Sept 9, 2026); real, dated urgency.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VITL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61.0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closed a fresh $185M debt facility ($125M term + $60M revolver, Aug 2026) to fund the liquidity gap; ample new debt capacity just tapped, no equity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FWRG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61.0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$2.3M); management guides to positive FCF from 2027 via self-funded, organic growth.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KULR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repaid its only debt facility using bitcoin-asset sales and has explicitly paused its ATM program as a deliberate non-dilutive strategy;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EVGO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$197.7M cash plus $409M of additional DOE-guaranteed loan availability; ample untapped debt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NEXT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$499.6M cash, project-level financing already arranged (~$10.3B), and a shelf already filed (May 2026) for this exact purpose;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GETY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57.2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qualification in the Q2 2026 10-Q, revolver fully drawn by July 2026, Shutterstock merger (the de-leveraging path) terminated, Guggenheim now retained.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QDEL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56.8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completed a $100M acquisition (LEX Diagnostics, Apr 2026); adjusted-earnings profitable, no going concern found — cyclical pressure, not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PTLO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56.5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$7.2M) with revolver availability growing ($41.6M to $74.7M); untapped capacity increasing, not exhausted.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BRSL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55.0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and pays a maintained quarterly dividend ($0.23/share); profitability/dividend override applies directly.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AMTX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55.0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Explicit going-concern language across Q1 and Q2 2026 10-Qs, $3.5M cash against $354.2M of now-current debt, stockholders' deficit $322.1M.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CHPT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Already restructured its debt (Nov 2025 exchange, new $157M loan) and has $150M undrawn revolver; delisting risk already cured via 2025 reverse split.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ABTC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Backed by an 8,002-BTC strategic reserve providing ample non-dilutive liquidity; delisting risk already cured via a July 2026 reverse split.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SPRY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Tight runway, but management already announced 40%+ SG&amp;A cuts toward a mid-2027 breakeven target, and an active securities class action over the CVS Caremark formulary miss makes this a bad moment to pitch a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JELD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~11.3x net leverage, negative H1 2026 free cash flow (-$144.8M), and a dated $400M Senior Notes maturity in December 2027; genuine, if less acute, need.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FWDI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language reportedly tied to a $50M shelf, but this is a volatile Solana-treasury pivot company with an unverified/anomalous reported quarterly loss figure ($585.7M vs. a $435M market cap); data quality too uncertain to promote to a one-pager this run.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DFH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$661M total liquidity and still profitable (Q1 net income $13M); no distress despite the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TRON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51.8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via its ~$234M TRX treasury with minimal debt; treasury value provides a large non-dilutive cushion.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BTGO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51.2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$159M cash, zero debt, plus a $147.7M BTC treasury; well-capitalized post-IPO, no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HDSN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Zero term debt with ~$40M undrawn on its ABL and profitable continuing operations; ample untapped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BZFD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 $120M strategic PIPE-like investment from Allen Family Digital closed in Q2 2026, inside the 6-month lookback, and resolved the prior going-concern flag; capital need already met.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RPAY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Arranged a new $500M term loan (Q1 2026) to fund the KUBRA acquisition and generates positive operating cash flow; ample debt capacity, self-funded.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INV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researched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INDP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researched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GEMI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46.8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Cash burning fast (&lt;1yr runway) but faces a $1.2B NYAG lawsuit plus a securities class action; existential legal/regulatory risk overshadows any financing thesis.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VOR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Already raised $75M+ via a private placement (Mar 2026) and $330M+ total in 2026, inside the 6-month lookback, on top of a new $4B licensing deal; capital need already addressed.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RZLT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$120M of liquid assets against ~$13.7M/quarter burn (8+ quarters of runway); no debt, no going concern — not distressed despite the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CMPX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language is real, but the lead program (tovecimig) missed its Phase 3 survival endpoint in Apr 2026 (stock -66% in a day); pipeline credibility too damaged to pitch a raise now.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XGN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Only $25M of a $75M term-loan facility drawn, leaving $50M undrawn; ample untapped debt capacity, management says funds adequate 12+ months.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ONEW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Actively deleveraging via a non-equity asset sale (Ocean Bio-Chem, Feb 2026), with leverage improving from 5.8x to 3.7x;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HPP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$933.3M total liquidity with $795.3M undrawn on its revolver; a REIT with hugely ample untapped debt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INSE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44.5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Deleveraging via asset divestiture and buying back its own shares; a buyback is the direct opposite of a capital-need signal.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ADMA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Clearly profitable (H1 2026 operating income $110.7M) and covenant-compliant; profitability override applies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LFCR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43.0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Heavy related-party debt load relative to thin liquidity, but $21.6M of revolver headroom remains and no going-concern language was found; not confirmed distressed enough to promote.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2026-08-31T01:15:28.055Z</dcterms:created>
  <dcterms:modified xsi:type="dcterms:W3CDTF">2026-08-31T01:15:28.055Z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