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GETY — Getty Images Holdings Inc</w:t>
      </w:r>
    </w:p>
    <w:p>
      <w:pPr>
        <w:pBdr>
          <w:bottom w:val="single" w:color="1F3864" w:sz="8" w:space="4"/>
        </w:pBdr>
        <w:spacing w:after="200"/>
      </w:pPr>
      <w:r>
        <w:rPr>
          <w:i/>
          <w:iCs/>
          <w:color w:val="444444"/>
          <w:sz w:val="22"/>
          <w:szCs w:val="22"/>
        </w:rPr>
        <w:t xml:space="preserve">Consumer Discretionary / Business Services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Current Market Cap:  </w:t>
      </w:r>
      <w:r>
        <w:rPr>
          <w:sz w:val="22"/>
          <w:szCs w:val="22"/>
        </w:rPr>
        <w:t xml:space="preserve">$105.9M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Proposed Raise Size:  </w:t>
      </w:r>
      <w:r>
        <w:rPr>
          <w:sz w:val="22"/>
          <w:szCs w:val="22"/>
        </w:rPr>
        <w:t xml:space="preserve">$42.4M (40.0% of market cap)</w:t>
      </w:r>
    </w:p>
    <w:p>
      <w:pPr>
        <w:pStyle w:val="Heading2"/>
        <w:spacing w:after="120" w:before="200"/>
      </w:pPr>
      <w:r>
        <w:t xml:space="preserve">Thesis</w:t>
      </w:r>
    </w:p>
    <w:p>
      <w:pPr>
        <w:spacing w:after="200"/>
      </w:pPr>
      <w:r>
        <w:rPr>
          <w:sz w:val="22"/>
          <w:szCs w:val="22"/>
        </w:rPr>
        <w:t xml:space="preserve">Getty Images' Q2 2026 10-Q discloses substantial doubt about its ability to continue as a going concern. Liquidity at June 30, 2026 was just $81.6 million ($51.6 million cash plus $30 million of then-remaining revolver capacity), and the revolver was fully drawn by July 2026, leaving cash as essentially the only remaining liquidity cushion against $2.07 billion of total debt and H1 2026 interest expense of $111.5 million (up 61% year-over-year). The company is not profitable (Q2 2026 net loss $85.8 million) and pays no dividend. The proposed Shutterstock merger -- which would have been the primary de-leveraging path -- was terminated July 6, 2026 over a UK regulatory divestiture requirement, and management has since engaged Guggenheim Securities to run a formal strategic-financing-alternatives process.</w:t>
      </w:r>
    </w:p>
    <w:p>
      <w:pPr>
        <w:pStyle w:val="Heading2"/>
        <w:spacing w:after="120" w:before="200"/>
      </w:pPr>
      <w:r>
        <w:t xml:space="preserve">Use of Proceeds</w:t>
      </w:r>
    </w:p>
    <w:p>
      <w:pPr>
        <w:spacing w:after="200"/>
      </w:pPr>
      <w:r>
        <w:rPr>
          <w:sz w:val="22"/>
          <w:szCs w:val="22"/>
        </w:rPr>
        <w:t xml:space="preserve">Proceeds would bridge near-term liquidity now that the revolver is fully drawn, and fund a partial paydown of the highest-cost tranches of the $2.07 billion debt stack to bring interest expense down from its current 61%-YoY-growth trajectory.</w:t>
      </w:r>
    </w:p>
    <w:p>
      <w:pPr>
        <w:pStyle w:val="Heading2"/>
        <w:spacing w:after="120" w:before="200"/>
      </w:pPr>
      <w:r>
        <w:t xml:space="preserve">Timing</w:t>
      </w:r>
    </w:p>
    <w:p>
      <w:pPr>
        <w:spacing w:after="200"/>
      </w:pPr>
      <w:r>
        <w:rPr>
          <w:sz w:val="22"/>
          <w:szCs w:val="22"/>
        </w:rPr>
        <w:t xml:space="preserve">The revolver became fully drawn in July 2026 and management has already retained Guggenheim to run a strategic-alternatives process, which management's own filings frame as addressing balance-sheet issues through Q3/Q4 2026 -- this is an active, company-initiated process on a matter of months, not a hypothetical.</w:t>
      </w:r>
    </w:p>
    <w:p>
      <w:pPr>
        <w:pStyle w:val="Heading2"/>
        <w:spacing w:after="120" w:before="200"/>
      </w:pPr>
      <w:r>
        <w:t xml:space="preserve">Why Raise Now</w:t>
      </w:r>
    </w:p>
    <w:p>
      <w:pPr>
        <w:spacing w:after="200"/>
      </w:pPr>
      <w:r>
        <w:rPr>
          <w:sz w:val="22"/>
          <w:szCs w:val="22"/>
        </w:rPr>
        <w:t xml:space="preserve">With the merger that was supposed to fix the balance sheet dead and the revolver already exhausted, the alternative to raising equity now is worse than dilution: further liquidity deterioration, a forced restructuring, or a raise priced later from an even weaker negotiating position once cash runs lower. Management has already signaled this is the path by hiring a restructuring-and-financing advisor.</w:t>
      </w:r>
    </w:p>
    <w:p>
      <w:pPr>
        <w:pStyle w:val="Heading2"/>
        <w:spacing w:after="120" w:before="200"/>
      </w:pPr>
      <w:r>
        <w:t xml:space="preserve">Risks to the Pitch</w:t>
      </w:r>
    </w:p>
    <w:p>
      <w:pPr>
        <w:spacing w:after="200"/>
      </w:pPr>
      <w:r>
        <w:rPr>
          <w:sz w:val="22"/>
          <w:szCs w:val="22"/>
        </w:rPr>
        <w:t xml:space="preserve">The scale of the actual problem (a $2.07 billion debt load and $111.5 million of half-year interest expense) is an order of magnitude larger than what a $42.4 million raise -- capped at 40% of the company's own depressed market cap -- can fix on its own; this raise would need to be one piece of a broader restructuring, not a standalone solution, and framing it as sufficient on its own would be misleading. Going-concern companies mid-strategic-review are also simply hard placements: investors will want clarity on the outcome of the Guggenheim process before committing capital, and a failed or drawn-out process could push any raise later and at a worse price than today's.</w:t>
      </w:r>
    </w:p>
    <w:p>
      <w:pPr>
        <w:pStyle w:val="Heading2"/>
        <w:spacing w:after="120" w:before="200"/>
      </w:pPr>
      <w:r>
        <w:t xml:space="preserve">Summary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800"/>
        <w:gridCol w:w="2340"/>
      </w:tblGrid>
      <w:tr>
        <w:tc>
          <w:tcPr>
            <w:tcW w:type="dxa" w:w="16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20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Market Cap</w:t>
            </w:r>
          </w:p>
        </w:tc>
        <w:tc>
          <w:tcPr>
            <w:tcW w:type="dxa" w:w="18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Raise Size</w:t>
            </w:r>
          </w:p>
        </w:tc>
        <w:tc>
          <w:tcPr>
            <w:tcW w:type="dxa" w:w="18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Market Cap</w:t>
            </w:r>
          </w:p>
        </w:tc>
        <w:tc>
          <w:tcPr>
            <w:tcW w:type="dxa" w:w="234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  <w:sz w:val="20"/>
                <w:szCs w:val="20"/>
              </w:rPr>
              <w:t xml:space="preserve">GETY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$105.9M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$42.4M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40.0%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160"/>
      </w:pPr>
      <w:r>
        <w:rPr>
          <w:i/>
          <w:iCs/>
          <w:color w:val="444444"/>
          <w:sz w:val="20"/>
          <w:szCs w:val="20"/>
        </w:rPr>
        <w:t xml:space="preserve">Note: Researched need (bridging liquidity against a $2.07B debt load) materially exceeds the 40%-of-market-cap sizing cap; sized at the cap per policy and flagged explicitly.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2026-08-31T01:13:13.931Z</dcterms:created>
  <dcterms:modified xsi:type="dcterms:W3CDTF">2026-08-31T01:13:13.932Z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