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GUTS — Fractyl Health Inc</w:t>
      </w:r>
    </w:p>
    <w:p>
      <w:pPr>
        <w:pBdr>
          <w:bottom w:val="single" w:color="1F3864" w:sz="8" w:space="4"/>
        </w:pBdr>
        <w:spacing w:after="200"/>
      </w:pPr>
      <w:r>
        <w:rPr>
          <w:i/>
          <w:iCs/>
          <w:color w:val="444444"/>
          <w:sz w:val="22"/>
          <w:szCs w:val="22"/>
        </w:rPr>
        <w:t xml:space="preserve">Health Care / Medical/Dental Instruments</w:t>
      </w:r>
    </w:p>
    <w:p>
      <w:pPr>
        <w:spacing w:after="80"/>
      </w:pPr>
      <w:r>
        <w:rPr>
          <w:b/>
          <w:bCs/>
          <w:sz w:val="22"/>
          <w:szCs w:val="22"/>
        </w:rPr>
        <w:t xml:space="preserve">Current Market Cap:  </w:t>
      </w:r>
      <w:r>
        <w:rPr>
          <w:sz w:val="22"/>
          <w:szCs w:val="22"/>
        </w:rPr>
        <w:t xml:space="preserve">$104.9M</w:t>
      </w:r>
    </w:p>
    <w:p>
      <w:pPr>
        <w:spacing w:after="200"/>
      </w:pPr>
      <w:r>
        <w:rPr>
          <w:b/>
          <w:bCs/>
          <w:sz w:val="22"/>
          <w:szCs w:val="22"/>
        </w:rPr>
        <w:t xml:space="preserve">Proposed Raise Size:  </w:t>
      </w:r>
      <w:r>
        <w:rPr>
          <w:sz w:val="22"/>
          <w:szCs w:val="22"/>
        </w:rPr>
        <w:t xml:space="preserve">$35.0M (33.4% of market cap)</w:t>
      </w:r>
    </w:p>
    <w:p>
      <w:pPr>
        <w:pStyle w:val="Heading2"/>
        <w:spacing w:after="120" w:before="200"/>
      </w:pPr>
      <w:r>
        <w:t xml:space="preserve">Thesis</w:t>
      </w:r>
    </w:p>
    <w:p>
      <w:pPr>
        <w:spacing w:after="200"/>
      </w:pPr>
      <w:r>
        <w:rPr>
          <w:sz w:val="22"/>
          <w:szCs w:val="22"/>
        </w:rPr>
        <w:t xml:space="preserve">Fractyl Health's Q2 2026 10-Q discloses substantial doubt about its ability to continue as a going concern, stating existing cash will not fund its current operating plan. Cash was $47.1 million at June 30, 2026, down from $63.2 million at March 31, 2026 -- a burn pace of roughly $16 million a quarter against a company with no approved product revenue and an accumulated deficit near $467 million. Layered on top of the cash problem, Nasdaq issued a minimum-bid-price deficiency notice on March 13, 2026, with a compliance deadline of September 9, 2026; the company has proposed a 1-for-5-to-1-for-15 reverse split (pending shareholder approval, per its August 2026 DEF 14A) to cure it. The company has no debt facility disclosed and pays no dividend.</w:t>
      </w:r>
    </w:p>
    <w:p>
      <w:pPr>
        <w:pStyle w:val="Heading2"/>
        <w:spacing w:after="120" w:before="200"/>
      </w:pPr>
      <w:r>
        <w:t xml:space="preserve">Use of Proceeds</w:t>
      </w:r>
    </w:p>
    <w:p>
      <w:pPr>
        <w:spacing w:after="200"/>
      </w:pPr>
      <w:r>
        <w:rPr>
          <w:sz w:val="22"/>
          <w:szCs w:val="22"/>
        </w:rPr>
        <w:t xml:space="preserve">Proceeds would extend the cash runway through the pivotal REMAIN-1 and REVEAL-1 trial readouts for the Revita DMR metabolic-disease device platform, covering the clinical, regulatory, and manufacturing-scale-up spend needed to reach those milestones without a near-term funding gap.</w:t>
      </w:r>
    </w:p>
    <w:p>
      <w:pPr>
        <w:pStyle w:val="Heading2"/>
        <w:spacing w:after="120" w:before="200"/>
      </w:pPr>
      <w:r>
        <w:t xml:space="preserve">Timing</w:t>
      </w:r>
    </w:p>
    <w:p>
      <w:pPr>
        <w:spacing w:after="200"/>
      </w:pPr>
      <w:r>
        <w:rPr>
          <w:sz w:val="22"/>
          <w:szCs w:val="22"/>
        </w:rPr>
        <w:t xml:space="preserve">The Nasdaq bid-price compliance deadline (September 9, 2026) is roughly ten days from today, and the going-concern disclosure in the June 30, 2026 10-Q is explicit that the current operating plan is not fully funded -- both are dated, near-term forcing events that make this a now-or-shortly-after-the-reverse-split decision rather than an open-ended one.</w:t>
      </w:r>
    </w:p>
    <w:p>
      <w:pPr>
        <w:pStyle w:val="Heading2"/>
        <w:spacing w:after="120" w:before="200"/>
      </w:pPr>
      <w:r>
        <w:t xml:space="preserve">Why Raise Now</w:t>
      </w:r>
    </w:p>
    <w:p>
      <w:pPr>
        <w:spacing w:after="200"/>
      </w:pPr>
      <w:r>
        <w:rPr>
          <w:sz w:val="22"/>
          <w:szCs w:val="22"/>
        </w:rPr>
        <w:t xml:space="preserve">For a going-concern company facing an imminent listing-compliance deadline, the alternative to raising now is worse than the dilution a raise causes: a failed cure, a forced delisting, or a raise executed later from a position of even less negotiating leverage once the September deadline has come and gone. Pairing an equity raise with the pending reverse split lets the company address both problems (capital and listing compliance) in the same window.</w:t>
      </w:r>
    </w:p>
    <w:p>
      <w:pPr>
        <w:pStyle w:val="Heading2"/>
        <w:spacing w:after="120" w:before="200"/>
      </w:pPr>
      <w:r>
        <w:t xml:space="preserve">Risks to the Pitch</w:t>
      </w:r>
    </w:p>
    <w:p>
      <w:pPr>
        <w:spacing w:after="200"/>
      </w:pPr>
      <w:r>
        <w:rPr>
          <w:sz w:val="22"/>
          <w:szCs w:val="22"/>
        </w:rPr>
        <w:t xml:space="preserve">The company also disclosed a securities class action (covering the period January 13, 2025 to January 29, 2026, alleging misrepresentation of Revita DMR efficacy data) with a lead-plaintiff deadline of October 20, 2026 -- active litigation of this kind routinely makes institutional investors demand extra protection or simply pass, and it is a genuine complication layered on top of the funding need, not just a footnote. A raise this severe (33% of market cap) is also, by definition, a hard sell to existing holders already sitting on losses from the stock's decline; these distressed-name deals are harder to close than the numbers alone suggest.</w:t>
      </w:r>
    </w:p>
    <w:p>
      <w:pPr>
        <w:pStyle w:val="Heading2"/>
        <w:spacing w:after="120" w:before="200"/>
      </w:pPr>
      <w:r>
        <w:t xml:space="preserve">Summary</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800"/>
        <w:gridCol w:w="1800"/>
        <w:gridCol w:w="2340"/>
      </w:tblGrid>
      <w:tr>
        <w:tc>
          <w:tcPr>
            <w:tcW w:type="dxa" w:w="1600"/>
            <w:shd w:fill="1F3864" w:color="auto" w:val="clear"/>
          </w:tcPr>
          <w:p>
            <w:r>
              <w:rPr>
                <w:b/>
                <w:bCs/>
                <w:color w:val="FFFFFF"/>
                <w:sz w:val="20"/>
                <w:szCs w:val="20"/>
              </w:rPr>
              <w:t xml:space="preserve">Ticker</w:t>
            </w:r>
          </w:p>
        </w:tc>
        <w:tc>
          <w:tcPr>
            <w:tcW w:type="dxa" w:w="2000"/>
            <w:shd w:fill="1F3864" w:color="auto" w:val="clear"/>
          </w:tcPr>
          <w:p>
            <w:r>
              <w:rPr>
                <w:b/>
                <w:bCs/>
                <w:color w:val="FFFFFF"/>
                <w:sz w:val="20"/>
                <w:szCs w:val="20"/>
              </w:rPr>
              <w:t xml:space="preserve">Market Cap</w:t>
            </w:r>
          </w:p>
        </w:tc>
        <w:tc>
          <w:tcPr>
            <w:tcW w:type="dxa" w:w="1800"/>
            <w:shd w:fill="1F3864" w:color="auto" w:val="clear"/>
          </w:tcPr>
          <w:p>
            <w:r>
              <w:rPr>
                <w:b/>
                <w:bCs/>
                <w:color w:val="FFFFFF"/>
                <w:sz w:val="20"/>
                <w:szCs w:val="20"/>
              </w:rPr>
              <w:t xml:space="preserve">Raise Size</w:t>
            </w:r>
          </w:p>
        </w:tc>
        <w:tc>
          <w:tcPr>
            <w:tcW w:type="dxa" w:w="1800"/>
            <w:shd w:fill="1F3864" w:color="auto" w:val="clear"/>
          </w:tcPr>
          <w:p>
            <w:r>
              <w:rPr>
                <w:b/>
                <w:bCs/>
                <w:color w:val="FFFFFF"/>
                <w:sz w:val="20"/>
                <w:szCs w:val="20"/>
              </w:rPr>
              <w:t xml:space="preserve">% of Market Cap</w:t>
            </w:r>
          </w:p>
        </w:tc>
        <w:tc>
          <w:tcPr>
            <w:tcW w:type="dxa" w:w="2340"/>
            <w:shd w:fill="1F3864" w:color="auto" w:val="clear"/>
          </w:tcPr>
          <w:p>
            <w:r>
              <w:rPr>
                <w:b/>
                <w:bCs/>
                <w:color w:val="FFFFFF"/>
                <w:sz w:val="20"/>
                <w:szCs w:val="20"/>
              </w:rPr>
              <w:t xml:space="preserve">Urgency</w:t>
            </w:r>
          </w:p>
        </w:tc>
      </w:tr>
      <w:tr>
        <w:tc>
          <w:tcPr>
            <w:tcW w:type="dxa" w:w="1600"/>
          </w:tcPr>
          <w:p>
            <w:r>
              <w:rPr>
                <w:b/>
                <w:bCs/>
                <w:sz w:val="20"/>
                <w:szCs w:val="20"/>
              </w:rPr>
              <w:t xml:space="preserve">GUTS</w:t>
            </w:r>
          </w:p>
        </w:tc>
        <w:tc>
          <w:tcPr>
            <w:tcW w:type="dxa" w:w="2000"/>
          </w:tcPr>
          <w:p>
            <w:r>
              <w:rPr>
                <w:sz w:val="20"/>
                <w:szCs w:val="20"/>
              </w:rPr>
              <w:t xml:space="preserve">$104.9M</w:t>
            </w:r>
          </w:p>
        </w:tc>
        <w:tc>
          <w:tcPr>
            <w:tcW w:type="dxa" w:w="1800"/>
          </w:tcPr>
          <w:p>
            <w:r>
              <w:rPr>
                <w:sz w:val="20"/>
                <w:szCs w:val="20"/>
              </w:rPr>
              <w:t xml:space="preserve">$35.0M</w:t>
            </w:r>
          </w:p>
        </w:tc>
        <w:tc>
          <w:tcPr>
            <w:tcW w:type="dxa" w:w="1800"/>
          </w:tcPr>
          <w:p>
            <w:r>
              <w:rPr>
                <w:sz w:val="20"/>
                <w:szCs w:val="20"/>
              </w:rPr>
              <w:t xml:space="preserve">33.4%</w:t>
            </w:r>
          </w:p>
        </w:tc>
        <w:tc>
          <w:tcPr>
            <w:tcW w:type="dxa" w:w="2340"/>
          </w:tcPr>
          <w:p>
            <w:r>
              <w:rPr>
                <w:sz w:val="20"/>
                <w:szCs w:val="20"/>
              </w:rPr>
              <w:t xml:space="preserve">High</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2026-08-31T01:12:13.077Z</dcterms:created>
  <dcterms:modified xsi:type="dcterms:W3CDTF">2026-08-31T01:12:13.077Z</dcterms:modified>
</cp:coreProperties>
</file>

<file path=docProps/custom.xml><?xml version="1.0" encoding="utf-8"?>
<Properties xmlns="http://schemas.openxmlformats.org/officeDocument/2006/custom-properties" xmlns:vt="http://schemas.openxmlformats.org/officeDocument/2006/docPropsVTypes"/>
</file>