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JELD — JELD-WEN Holding Inc</w:t>
      </w:r>
    </w:p>
    <w:p>
      <w:pPr>
        <w:pBdr>
          <w:bottom w:val="single" w:color="1F3864" w:sz="8" w:space="4"/>
        </w:pBdr>
        <w:spacing w:after="200"/>
      </w:pPr>
      <w:r>
        <w:rPr>
          <w:i/>
          <w:iCs/>
          <w:color w:val="444444"/>
          <w:sz w:val="22"/>
          <w:szCs w:val="22"/>
        </w:rPr>
        <w:t xml:space="preserve">Basic Materials / Forest Products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Current Market Cap:  </w:t>
      </w:r>
      <w:r>
        <w:rPr>
          <w:sz w:val="22"/>
          <w:szCs w:val="22"/>
        </w:rPr>
        <w:t xml:space="preserve">$219.5M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Proposed Raise Size:  </w:t>
      </w:r>
      <w:r>
        <w:rPr>
          <w:sz w:val="22"/>
          <w:szCs w:val="22"/>
        </w:rPr>
        <w:t xml:space="preserve">$87.8M (40.0% of market cap)</w:t>
      </w:r>
    </w:p>
    <w:p>
      <w:pPr>
        <w:pStyle w:val="Heading2"/>
        <w:spacing w:after="120" w:before="200"/>
      </w:pPr>
      <w:r>
        <w:t xml:space="preserve">Thesis</w:t>
      </w:r>
    </w:p>
    <w:p>
      <w:pPr>
        <w:spacing w:after="200"/>
      </w:pPr>
      <w:r>
        <w:rPr>
          <w:sz w:val="22"/>
          <w:szCs w:val="22"/>
        </w:rPr>
        <w:t xml:space="preserve">JELD-WEN is carrying $1.244 billion of total debt against a market cap that has fallen to roughly $220 million, putting net leverage at approximately 11.3x EBITDA. Cash was only $57.2 million as of the June 27, 2026 10-Q, and free cash flow was negative $144.8 million for H1 2026 (full-year 2026 FCF is projected at negative $75 million). The company posted a $108.4 million net loss for H1 2026 and pays no dividend, so there is no profitability/dividend override here. A $400 million tranche of Senior Notes matures in December 2027 -- roughly sixteen months out -- and management has already said it is evaluating refinancing options. No stealth or registered equity raise was found in the trailing six months; the company does have an S-3 shelf on file but has not used it.</w:t>
      </w:r>
    </w:p>
    <w:p>
      <w:pPr>
        <w:pStyle w:val="Heading2"/>
        <w:spacing w:after="120" w:before="200"/>
      </w:pPr>
      <w:r>
        <w:t xml:space="preserve">Use of Proceeds</w:t>
      </w:r>
    </w:p>
    <w:p>
      <w:pPr>
        <w:spacing w:after="200"/>
      </w:pPr>
      <w:r>
        <w:rPr>
          <w:sz w:val="22"/>
          <w:szCs w:val="22"/>
        </w:rPr>
        <w:t xml:space="preserve">Proceeds would go toward paying down or supporting a refinancing of the December 2027 Senior Notes maturity and reducing net leverage from its current ~11.3x level, ahead of that wall coming due.</w:t>
      </w:r>
    </w:p>
    <w:p>
      <w:pPr>
        <w:pStyle w:val="Heading2"/>
        <w:spacing w:after="120" w:before="200"/>
      </w:pPr>
      <w:r>
        <w:t xml:space="preserve">Timing</w:t>
      </w:r>
    </w:p>
    <w:p>
      <w:pPr>
        <w:spacing w:after="200"/>
      </w:pPr>
      <w:r>
        <w:rPr>
          <w:sz w:val="22"/>
          <w:szCs w:val="22"/>
        </w:rPr>
        <w:t xml:space="preserve">The $400 million Senior Notes maturity in December 2027 is a hard, dated obligation, and at the current burn rate (negative FCF of roughly $150 million annualized) the company's own cash generation will not cover it without either a much stronger operating recovery, a debt refinancing, or new equity capital well before the maturity date.</w:t>
      </w:r>
    </w:p>
    <w:p>
      <w:pPr>
        <w:pStyle w:val="Heading2"/>
        <w:spacing w:after="120" w:before="200"/>
      </w:pPr>
      <w:r>
        <w:t xml:space="preserve">Why Raise Now</w:t>
      </w:r>
    </w:p>
    <w:p>
      <w:pPr>
        <w:spacing w:after="200"/>
      </w:pPr>
      <w:r>
        <w:rPr>
          <w:sz w:val="22"/>
          <w:szCs w:val="22"/>
        </w:rPr>
        <w:t xml:space="preserve">Waiting until closer to the December 2027 maturity to address it would mean negotiating a refinancing (or an equity raise) from a position of even less leverage than today, with rating agencies and lenders pricing in near-term default risk -- doing this ahead of the wall, while there is still runway to execute a negotiated solution, should produce meaningfully better terms than a distressed, last-minute scramble.</w:t>
      </w:r>
    </w:p>
    <w:p>
      <w:pPr>
        <w:pStyle w:val="Heading2"/>
        <w:spacing w:after="120" w:before="200"/>
      </w:pPr>
      <w:r>
        <w:t xml:space="preserve">Risks to the Pitch</w:t>
      </w:r>
    </w:p>
    <w:p>
      <w:pPr>
        <w:spacing w:after="200"/>
      </w:pPr>
      <w:r>
        <w:rPr>
          <w:sz w:val="22"/>
          <w:szCs w:val="22"/>
        </w:rPr>
        <w:t xml:space="preserve">At 11.3x net leverage and negative free cash flow, JELD-WEN's core problem is an operating one (housing/building-products demand softness, cited $50 million of price/cost headwinds for 2026) that a single equity raise does not solve on its own -- the company needs the demand backdrop to stabilize as much as it needs capital, and a raise pitched purely as a balance-sheet fix risks understating that. The $87.8 million raise, capped at 40% of market cap, is also a fraction of the $1.24 billion debt load, so this would need to be part of a broader deleveraging plan rather than a standalone solution.</w:t>
      </w:r>
    </w:p>
    <w:p>
      <w:pPr>
        <w:pStyle w:val="Heading2"/>
        <w:spacing w:after="120" w:before="200"/>
      </w:pPr>
      <w:r>
        <w:t xml:space="preserve">Summary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800"/>
        <w:gridCol w:w="1800"/>
        <w:gridCol w:w="2340"/>
      </w:tblGrid>
      <w:tr>
        <w:tc>
          <w:tcPr>
            <w:tcW w:type="dxa" w:w="16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Ticker</w:t>
            </w:r>
          </w:p>
        </w:tc>
        <w:tc>
          <w:tcPr>
            <w:tcW w:type="dxa" w:w="20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Market Cap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Raise Size</w:t>
            </w:r>
          </w:p>
        </w:tc>
        <w:tc>
          <w:tcPr>
            <w:tcW w:type="dxa" w:w="180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% of Market Cap</w:t>
            </w:r>
          </w:p>
        </w:tc>
        <w:tc>
          <w:tcPr>
            <w:tcW w:type="dxa" w:w="2340"/>
            <w:shd w:fill="1F3864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Urgency</w:t>
            </w:r>
          </w:p>
        </w:tc>
      </w:tr>
      <w:tr>
        <w:tc>
          <w:tcPr>
            <w:tcW w:type="dxa" w:w="1600"/>
          </w:tcPr>
          <w:p>
            <w:r>
              <w:rPr>
                <w:b/>
                <w:bCs/>
                <w:sz w:val="20"/>
                <w:szCs w:val="20"/>
              </w:rPr>
              <w:t xml:space="preserve">JELD</w:t>
            </w:r>
          </w:p>
        </w:tc>
        <w:tc>
          <w:tcPr>
            <w:tcW w:type="dxa" w:w="2000"/>
          </w:tcPr>
          <w:p>
            <w:r>
              <w:rPr>
                <w:sz w:val="20"/>
                <w:szCs w:val="20"/>
              </w:rPr>
              <w:t xml:space="preserve">$219.5M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$87.8M</w:t>
            </w:r>
          </w:p>
        </w:tc>
        <w:tc>
          <w:tcPr>
            <w:tcW w:type="dxa" w:w="1800"/>
          </w:tcPr>
          <w:p>
            <w:r>
              <w:rPr>
                <w:sz w:val="20"/>
                <w:szCs w:val="20"/>
              </w:rPr>
              <w:t xml:space="preserve">40.0%</w:t>
            </w:r>
          </w:p>
        </w:tc>
        <w:tc>
          <w:tcPr>
            <w:tcW w:type="dxa" w:w="2340"/>
          </w:tcPr>
          <w:p>
            <w:r>
              <w:rPr>
                <w:sz w:val="20"/>
                <w:szCs w:val="20"/>
              </w:rPr>
              <w:t xml:space="preserve">Medium-High</w:t>
            </w:r>
          </w:p>
        </w:tc>
      </w:tr>
    </w:tbl>
    <w:p>
      <w:pPr>
        <w:spacing w:before="160"/>
      </w:pPr>
      <w:r>
        <w:rPr>
          <w:i/>
          <w:iCs/>
          <w:color w:val="444444"/>
          <w:sz w:val="20"/>
          <w:szCs w:val="20"/>
        </w:rPr>
        <w:t xml:space="preserve">Note: Researched need (addressing 11.3x leverage ahead of a $400M Dec-2027 maturity) exceeds the 40%-of-market-cap sizing cap; sized at the cap per policy and flagged explicitly.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2026-08-31T01:13:14.247Z</dcterms:created>
  <dcterms:modified xsi:type="dcterms:W3CDTF">2026-08-31T01:13:14.247Z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