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YDES — YD Bio Limited</w:t>
      </w:r>
    </w:p>
    <w:p>
      <w:pPr>
        <w:pBdr>
          <w:bottom w:val="single" w:color="1F3864" w:sz="8" w:space="4"/>
        </w:pBdr>
        <w:spacing w:after="200"/>
      </w:pPr>
      <w:r>
        <w:rPr>
          <w:i/>
          <w:iCs/>
          <w:color w:val="444444"/>
          <w:sz w:val="22"/>
          <w:szCs w:val="22"/>
        </w:rPr>
        <w:t xml:space="preserve">Health Care / Medical Specialities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Current Market Cap:  </w:t>
      </w:r>
      <w:r>
        <w:rPr>
          <w:sz w:val="22"/>
          <w:szCs w:val="22"/>
        </w:rPr>
        <w:t xml:space="preserve">$340.0M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Proposed Raise Size:  </w:t>
      </w:r>
      <w:r>
        <w:rPr>
          <w:sz w:val="22"/>
          <w:szCs w:val="22"/>
        </w:rPr>
        <w:t xml:space="preserve">$35.0M (10.3% of market cap)</w:t>
      </w:r>
    </w:p>
    <w:p>
      <w:pPr>
        <w:pStyle w:val="Heading2"/>
        <w:spacing w:after="120" w:before="200"/>
      </w:pPr>
      <w:r>
        <w:t xml:space="preserve">Thesis</w:t>
      </w:r>
    </w:p>
    <w:p>
      <w:pPr>
        <w:spacing w:after="200"/>
      </w:pPr>
      <w:r>
        <w:rPr>
          <w:sz w:val="22"/>
          <w:szCs w:val="22"/>
        </w:rPr>
        <w:t xml:space="preserve">YD Bio is a newly public (August 2025 SPAC merger with Breeze Holdings) diagnostics and ophthalmology company whose own FY2025 Form 20-F discloses substantial doubt about its ability to continue as a going concern. Cash was only $6.0 million at fiscal year-end 2025, against operating expenses that more than tripled year-over-year to $5.4 million as the company ramps toward IND submissions and clinical trials planned for 2026-2027. The company carries no debt, pays no dividend, and has never been profitable (FY2025 net loss $8.3 million). The last capital event was a $13.2 million PIPE tied to the August 2025 business combination -- more than twelve months old and structurally a one-time SPAC-close financing rather than an ongoing capital-markets relationship, so it does not represent an active alternative to a fresh raise.</w:t>
      </w:r>
    </w:p>
    <w:p>
      <w:pPr>
        <w:pStyle w:val="Heading2"/>
        <w:spacing w:after="120" w:before="200"/>
      </w:pPr>
      <w:r>
        <w:t xml:space="preserve">Use of Proceeds</w:t>
      </w:r>
    </w:p>
    <w:p>
      <w:pPr>
        <w:spacing w:after="200"/>
      </w:pPr>
      <w:r>
        <w:rPr>
          <w:sz w:val="22"/>
          <w:szCs w:val="22"/>
        </w:rPr>
        <w:t xml:space="preserve">Proceeds would fund the IND submissions and early clinical trial work planned for 2026-2027 for the company's DNA-methylation-based cancer detection platform and ophthalmology programs, plus working capital to sustain the step-up in R&amp;D spend already visible in the FY2025 opex trajectory.</w:t>
      </w:r>
    </w:p>
    <w:p>
      <w:pPr>
        <w:pStyle w:val="Heading2"/>
        <w:spacing w:after="120" w:before="200"/>
      </w:pPr>
      <w:r>
        <w:t xml:space="preserve">Timing</w:t>
      </w:r>
    </w:p>
    <w:p>
      <w:pPr>
        <w:spacing w:after="200"/>
      </w:pPr>
      <w:r>
        <w:rPr>
          <w:sz w:val="22"/>
          <w:szCs w:val="22"/>
        </w:rPr>
        <w:t xml:space="preserve">The company has flagged IND submissions and the start of clinical trials for 2026 into 2027 as the near-term operating plan; at $6.0 million of cash against $5.4 million (and rising) annual opex, the existing balance sheet does not cover that plan without new financing well before those milestones are reached.</w:t>
      </w:r>
    </w:p>
    <w:p>
      <w:pPr>
        <w:pStyle w:val="Heading2"/>
        <w:spacing w:after="120" w:before="200"/>
      </w:pPr>
      <w:r>
        <w:t xml:space="preserve">Why Raise Now</w:t>
      </w:r>
    </w:p>
    <w:p>
      <w:pPr>
        <w:spacing w:after="200"/>
      </w:pPr>
      <w:r>
        <w:rPr>
          <w:sz w:val="22"/>
          <w:szCs w:val="22"/>
        </w:rPr>
        <w:t xml:space="preserve">With a going-concern qualification already on the books and Nasdaq's tightened reverse-split/compliance rules taking effect January 1, 2026, the company has more to lose by waiting -- a further stock-price slide risks a listing-compliance problem on top of the funding gap. Raising now, while the story is still "newly public growth name funding its pipeline" rather than "going-concern company scrambling for cash," should be the less dilutive path.</w:t>
      </w:r>
    </w:p>
    <w:p>
      <w:pPr>
        <w:pStyle w:val="Heading2"/>
        <w:spacing w:after="120" w:before="200"/>
      </w:pPr>
      <w:r>
        <w:t xml:space="preserve">Risks to the Pitch</w:t>
      </w:r>
    </w:p>
    <w:p>
      <w:pPr>
        <w:spacing w:after="200"/>
      </w:pPr>
      <w:r>
        <w:rPr>
          <w:sz w:val="22"/>
          <w:szCs w:val="22"/>
        </w:rPr>
        <w:t xml:space="preserve">This is a thinly capitalized, recently SPAC-merged company with only $597 thousand of revenue and a going-concern opinion already in its audited financials -- exactly the profile that can make institutional investors demand a heavily discounted, structure-protective raise (warrants, ratchets) rather than a clean primary offering. The $340 million market cap versus $6 million of cash also implies a valuation that is disconnected from current fundamentals, which could complicate pricing any new deal.</w:t>
      </w:r>
    </w:p>
    <w:p>
      <w:pPr>
        <w:pStyle w:val="Heading2"/>
        <w:spacing w:after="120" w:before="200"/>
      </w:pPr>
      <w:r>
        <w:t xml:space="preserve">Summary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800"/>
        <w:gridCol w:w="2340"/>
      </w:tblGrid>
      <w:tr>
        <w:tc>
          <w:tcPr>
            <w:tcW w:type="dxa" w:w="16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20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Market Cap</w:t>
            </w:r>
          </w:p>
        </w:tc>
        <w:tc>
          <w:tcPr>
            <w:tcW w:type="dxa" w:w="18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Raise Size</w:t>
            </w:r>
          </w:p>
        </w:tc>
        <w:tc>
          <w:tcPr>
            <w:tcW w:type="dxa" w:w="18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Market Cap</w:t>
            </w:r>
          </w:p>
        </w:tc>
        <w:tc>
          <w:tcPr>
            <w:tcW w:type="dxa" w:w="234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20"/>
                <w:szCs w:val="20"/>
              </w:rPr>
              <w:t xml:space="preserve">YDES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$340.0M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$35.0M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10.3%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Medium-High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2026-08-31T01:12:12.901Z</dcterms:created>
  <dcterms:modified xsi:type="dcterms:W3CDTF">2026-08-31T01:12:12.902Z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