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Weekly Equity-Raise Candidate Research — Summary</w:t>
      </w:r>
    </w:p>
    <w:p>
      <w:pPr>
        <w:spacing w:after="200"/>
      </w:pPr>
      <w:r>
        <w:rPr>
          <w:i/>
          <w:iCs/>
          <w:color w:val="444444"/>
          <w:sz w:val="22"/>
          <w:szCs w:val="22"/>
        </w:rPr>
        <w:t xml:space="preserve">Week of 2026-08-30</w:t>
      </w:r>
    </w:p>
    <w:p>
      <w:r>
        <w:rPr>
          <w:b/>
          <w:color w:val="B00000"/>
          <w:sz w:val="21"/>
        </w:rPr>
        <w:t>COVERAGE GAP FLAGGED BY BATCH 3 (6:30AM ET 8/31): Batch 2 (scheduled 1:15AM ET 8/31) never committed any results to this repository -- git history shows only the Batch 1 commit before this run. Batch 2 was assigned distress-screen names ranked roughly #42-90 by capital_need_score (CRMD through SJT, 50 tickers) plus WOOF (rank #110), which is not on Batch 3's assigned list either. As of this run, those 51 tickers have NO Keep/Drop/Ambiguous disposition anywhere in this week's summaries and were not researched by any batch. This does not match the expectation that all three batches together would cover every candidate scoring &gt;=25 -- a standalone follow-up run covering those 51 tickers is recommended.</w:t>
      </w:r>
    </w:p>
    <w:p>
      <w:r>
        <w:rPr>
          <w:b/>
          <w:color w:val="1F6B1F"/>
          <w:sz w:val="21"/>
        </w:rPr>
        <w:t xml:space="preserve">UPDATE (Batch 2 catch-up run, ~1:15PM ET 8/31): </w:t>
      </w:r>
      <w:r>
        <w:rPr>
          <w:color w:val="444444"/>
          <w:sz w:val="21"/>
        </w:rPr>
        <w:t xml:space="preserve">This run researched 35 of the 51 gap tickers flagged above (EXOD through METC, ranked roughly #41-75 by capital_need_score), resolving most of the gap -- see the Batch 2 disposition table below. The remaining names -- roughly 15 tickers trimmed from this batch's original 50-name scope, WOOF, and the 18 names Batch 3 could not reach (including INV and INDP, a third consecutive miss) -- are scheduled for a separate Batch 4 follow-up run.</w:t>
      </w:r>
    </w:p>
    <w:p>
      <w:pPr>
        <w:pStyle w:val="Heading1"/>
        <w:spacing w:after="160" w:before="300"/>
      </w:pPr>
      <w:r>
        <w:t xml:space="preserve">Keep Names — One-Pager Summary (Both Screens, Accumulated)</w:t>
      </w:r>
    </w:p>
    <w:p>
      <w:pPr>
        <w:spacing w:after="160"/>
      </w:pPr>
      <w:r>
        <w:rPr>
          <w:sz w:val="21"/>
          <w:szCs w:val="21"/>
        </w:rPr>
        <w:t xml:space="preserve">Every Keep name with a finished one-pager in this folder, across all batches researched this week.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1600"/>
        <w:gridCol w:w="1600"/>
        <w:gridCol w:w="1600"/>
        <w:gridCol w:w="1900"/>
      </w:tblGrid>
      <w:tr>
        <w:tc>
          <w:tcPr>
            <w:tcW w:type="dxa" w:w="1300"/>
            <w:shd w:fill="1F3864" w:color="auto" w:val="clear"/>
          </w:tcPr>
          <w:p>
            <w:r>
              <w:rPr>
                <w:b/>
                <w:bCs/>
                <w:color w:val="FFFFFF"/>
                <w:sz w:val="18"/>
                <w:szCs w:val="18"/>
              </w:rPr>
              <w:t xml:space="preserve">Screen</w:t>
            </w:r>
          </w:p>
        </w:tc>
        <w:tc>
          <w:tcPr>
            <w:tcW w:type="dxa" w:w="1600"/>
            <w:shd w:fill="1F3864" w:color="auto" w:val="clear"/>
          </w:tcPr>
          <w:p>
            <w:r>
              <w:rPr>
                <w:b/>
                <w:bCs/>
                <w:color w:val="FFFFFF"/>
                <w:sz w:val="18"/>
                <w:szCs w:val="18"/>
              </w:rPr>
              <w:t xml:space="preserve">Ticker</w:t>
            </w:r>
          </w:p>
        </w:tc>
        <w:tc>
          <w:tcPr>
            <w:tcW w:type="dxa" w:w="1600"/>
            <w:shd w:fill="1F3864" w:color="auto" w:val="clear"/>
          </w:tcPr>
          <w:p>
            <w:r>
              <w:rPr>
                <w:b/>
                <w:bCs/>
                <w:color w:val="FFFFFF"/>
                <w:sz w:val="18"/>
                <w:szCs w:val="18"/>
              </w:rPr>
              <w:t xml:space="preserve">Market Cap</w:t>
            </w:r>
          </w:p>
        </w:tc>
        <w:tc>
          <w:tcPr>
            <w:tcW w:type="dxa" w:w="1600"/>
            <w:shd w:fill="1F3864" w:color="auto" w:val="clear"/>
          </w:tcPr>
          <w:p>
            <w:r>
              <w:rPr>
                <w:b/>
                <w:bCs/>
                <w:color w:val="FFFFFF"/>
                <w:sz w:val="18"/>
                <w:szCs w:val="18"/>
              </w:rPr>
              <w:t xml:space="preserve">Raise Size</w:t>
            </w:r>
          </w:p>
        </w:tc>
        <w:tc>
          <w:tcPr>
            <w:tcW w:type="dxa" w:w="1600"/>
            <w:shd w:fill="1F3864" w:color="auto" w:val="clear"/>
          </w:tcPr>
          <w:p>
            <w:r>
              <w:rPr>
                <w:b/>
                <w:bCs/>
                <w:color w:val="FFFFFF"/>
                <w:sz w:val="18"/>
                <w:szCs w:val="18"/>
              </w:rPr>
              <w:t xml:space="preserve">% of Mkt Cap</w:t>
            </w:r>
          </w:p>
        </w:tc>
        <w:tc>
          <w:tcPr>
            <w:tcW w:type="dxa" w:w="1900"/>
            <w:shd w:fill="1F3864" w:color="auto" w:val="clear"/>
          </w:tcPr>
          <w:p>
            <w:r>
              <w:rPr>
                <w:b/>
                <w:bCs/>
                <w:color w:val="FFFFFF"/>
                <w:sz w:val="18"/>
                <w:szCs w:val="18"/>
              </w:rPr>
              <w:t xml:space="preserve">Urgency</w:t>
            </w:r>
          </w:p>
        </w:tc>
      </w:tr>
      <w:tr>
        <w:tc>
          <w:tcPr>
            <w:tcW w:type="dxa" w:w="1300"/>
          </w:tcPr>
          <w:p>
            <w:r>
              <w:rPr>
                <w:sz w:val="18"/>
                <w:szCs w:val="18"/>
              </w:rPr>
              <w:t xml:space="preserve">Up</w:t>
            </w:r>
          </w:p>
        </w:tc>
        <w:tc>
          <w:tcPr>
            <w:tcW w:type="dxa" w:w="1600"/>
          </w:tcPr>
          <w:p>
            <w:r>
              <w:rPr>
                <w:b/>
                <w:bCs/>
                <w:sz w:val="18"/>
                <w:szCs w:val="18"/>
              </w:rPr>
              <w:t xml:space="preserve">PGEN</w:t>
            </w:r>
          </w:p>
        </w:tc>
        <w:tc>
          <w:tcPr>
            <w:tcW w:type="dxa" w:w="1600"/>
          </w:tcPr>
          <w:p>
            <w:r>
              <w:rPr>
                <w:sz w:val="18"/>
                <w:szCs w:val="18"/>
              </w:rPr>
              <w:t xml:space="preserve">$2,488.3M</w:t>
            </w:r>
          </w:p>
        </w:tc>
        <w:tc>
          <w:tcPr>
            <w:tcW w:type="dxa" w:w="1600"/>
          </w:tcPr>
          <w:p>
            <w:r>
              <w:rPr>
                <w:sz w:val="18"/>
                <w:szCs w:val="18"/>
              </w:rPr>
              <w:t xml:space="preserve">$497.7M</w:t>
            </w:r>
          </w:p>
        </w:tc>
        <w:tc>
          <w:tcPr>
            <w:tcW w:type="dxa" w:w="1600"/>
          </w:tcPr>
          <w:p>
            <w:r>
              <w:rPr>
                <w:sz w:val="18"/>
                <w:szCs w:val="18"/>
              </w:rPr>
              <w:t xml:space="preserve">20.0%</w:t>
            </w:r>
          </w:p>
        </w:tc>
        <w:tc>
          <w:tcPr>
            <w:tcW w:type="dxa" w:w="1900"/>
          </w:tcPr>
          <w:p>
            <w:r>
              <w:rPr>
                <w:sz w:val="18"/>
                <w:szCs w:val="18"/>
              </w:rPr>
              <w:t xml:space="preserve">Medium</w:t>
            </w:r>
          </w:p>
        </w:tc>
      </w:tr>
      <w:tr>
        <w:tc>
          <w:tcPr>
            <w:tcW w:type="dxa" w:w="1300"/>
          </w:tcPr>
          <w:p>
            <w:r>
              <w:rPr>
                <w:sz w:val="18"/>
                <w:szCs w:val="18"/>
              </w:rPr>
              <w:t xml:space="preserve">Up</w:t>
            </w:r>
          </w:p>
        </w:tc>
        <w:tc>
          <w:tcPr>
            <w:tcW w:type="dxa" w:w="1600"/>
          </w:tcPr>
          <w:p>
            <w:r>
              <w:rPr>
                <w:b/>
                <w:bCs/>
                <w:sz w:val="18"/>
                <w:szCs w:val="18"/>
              </w:rPr>
              <w:t xml:space="preserve">AVIR</w:t>
            </w:r>
          </w:p>
        </w:tc>
        <w:tc>
          <w:tcPr>
            <w:tcW w:type="dxa" w:w="1600"/>
          </w:tcPr>
          <w:p>
            <w:r>
              <w:rPr>
                <w:sz w:val="18"/>
                <w:szCs w:val="18"/>
              </w:rPr>
              <w:t xml:space="preserve">$429.9M</w:t>
            </w:r>
          </w:p>
        </w:tc>
        <w:tc>
          <w:tcPr>
            <w:tcW w:type="dxa" w:w="1600"/>
          </w:tcPr>
          <w:p>
            <w:r>
              <w:rPr>
                <w:sz w:val="18"/>
                <w:szCs w:val="18"/>
              </w:rPr>
              <w:t xml:space="preserve">$86.0M</w:t>
            </w:r>
          </w:p>
        </w:tc>
        <w:tc>
          <w:tcPr>
            <w:tcW w:type="dxa" w:w="1600"/>
          </w:tcPr>
          <w:p>
            <w:r>
              <w:rPr>
                <w:sz w:val="18"/>
                <w:szCs w:val="18"/>
              </w:rPr>
              <w:t xml:space="preserve">20.0%</w:t>
            </w:r>
          </w:p>
        </w:tc>
        <w:tc>
          <w:tcPr>
            <w:tcW w:type="dxa" w:w="1900"/>
          </w:tcPr>
          <w:p>
            <w:r>
              <w:rPr>
                <w:sz w:val="18"/>
                <w:szCs w:val="18"/>
              </w:rPr>
              <w:t xml:space="preserve">Medium</w:t>
            </w:r>
          </w:p>
        </w:tc>
      </w:tr>
      <w:tr>
        <w:tc>
          <w:tcPr>
            <w:tcW w:type="dxa" w:w="1300"/>
          </w:tcPr>
          <w:p>
            <w:r>
              <w:rPr>
                <w:sz w:val="18"/>
                <w:szCs w:val="18"/>
              </w:rPr>
              <w:t xml:space="preserve">Up</w:t>
            </w:r>
          </w:p>
        </w:tc>
        <w:tc>
          <w:tcPr>
            <w:tcW w:type="dxa" w:w="1600"/>
          </w:tcPr>
          <w:p>
            <w:r>
              <w:rPr>
                <w:b/>
                <w:bCs/>
                <w:sz w:val="18"/>
                <w:szCs w:val="18"/>
              </w:rPr>
              <w:t xml:space="preserve">GLSI</w:t>
            </w:r>
          </w:p>
        </w:tc>
        <w:tc>
          <w:tcPr>
            <w:tcW w:type="dxa" w:w="1600"/>
          </w:tcPr>
          <w:p>
            <w:r>
              <w:rPr>
                <w:sz w:val="18"/>
                <w:szCs w:val="18"/>
              </w:rPr>
              <w:t xml:space="preserve">$230.0M</w:t>
            </w:r>
          </w:p>
        </w:tc>
        <w:tc>
          <w:tcPr>
            <w:tcW w:type="dxa" w:w="1600"/>
          </w:tcPr>
          <w:p>
            <w:r>
              <w:rPr>
                <w:sz w:val="18"/>
                <w:szCs w:val="18"/>
              </w:rPr>
              <w:t xml:space="preserve">$46.0M</w:t>
            </w:r>
          </w:p>
        </w:tc>
        <w:tc>
          <w:tcPr>
            <w:tcW w:type="dxa" w:w="1600"/>
          </w:tcPr>
          <w:p>
            <w:r>
              <w:rPr>
                <w:sz w:val="18"/>
                <w:szCs w:val="18"/>
              </w:rPr>
              <w:t xml:space="preserve">20.0%</w:t>
            </w:r>
          </w:p>
        </w:tc>
        <w:tc>
          <w:tcPr>
            <w:tcW w:type="dxa" w:w="1900"/>
          </w:tcPr>
          <w:p>
            <w:r>
              <w:rPr>
                <w:sz w:val="18"/>
                <w:szCs w:val="18"/>
              </w:rPr>
              <w:t xml:space="preserve">High</w:t>
            </w:r>
          </w:p>
        </w:tc>
      </w:tr>
      <w:tr>
        <w:tc>
          <w:tcPr>
            <w:tcW w:type="dxa" w:w="1300"/>
          </w:tcPr>
          <w:p>
            <w:r>
              <w:rPr>
                <w:sz w:val="18"/>
                <w:szCs w:val="18"/>
              </w:rPr>
              <w:t xml:space="preserve">Up</w:t>
            </w:r>
          </w:p>
        </w:tc>
        <w:tc>
          <w:tcPr>
            <w:tcW w:type="dxa" w:w="1600"/>
          </w:tcPr>
          <w:p>
            <w:r>
              <w:rPr>
                <w:b/>
                <w:bCs/>
                <w:sz w:val="18"/>
                <w:szCs w:val="18"/>
              </w:rPr>
              <w:t xml:space="preserve">TKNO</w:t>
            </w:r>
          </w:p>
        </w:tc>
        <w:tc>
          <w:tcPr>
            <w:tcW w:type="dxa" w:w="1600"/>
          </w:tcPr>
          <w:p>
            <w:r>
              <w:rPr>
                <w:sz w:val="18"/>
                <w:szCs w:val="18"/>
              </w:rPr>
              <w:t xml:space="preserve">$382.3M</w:t>
            </w:r>
          </w:p>
        </w:tc>
        <w:tc>
          <w:tcPr>
            <w:tcW w:type="dxa" w:w="1600"/>
          </w:tcPr>
          <w:p>
            <w:r>
              <w:rPr>
                <w:sz w:val="18"/>
                <w:szCs w:val="18"/>
              </w:rPr>
              <w:t xml:space="preserve">$76.5M</w:t>
            </w:r>
          </w:p>
        </w:tc>
        <w:tc>
          <w:tcPr>
            <w:tcW w:type="dxa" w:w="1600"/>
          </w:tcPr>
          <w:p>
            <w:r>
              <w:rPr>
                <w:sz w:val="18"/>
                <w:szCs w:val="18"/>
              </w:rPr>
              <w:t xml:space="preserve">20.0%</w:t>
            </w:r>
          </w:p>
        </w:tc>
        <w:tc>
          <w:tcPr>
            <w:tcW w:type="dxa" w:w="1900"/>
          </w:tcPr>
          <w:p>
            <w:r>
              <w:rPr>
                <w:sz w:val="18"/>
                <w:szCs w:val="18"/>
              </w:rPr>
              <w:t xml:space="preserve">Medium-High</w:t>
            </w:r>
          </w:p>
        </w:tc>
      </w:tr>
      <w:tr>
        <w:tc>
          <w:tcPr>
            <w:tcW w:type="dxa" w:w="1300"/>
          </w:tcPr>
          <w:p>
            <w:r>
              <w:rPr>
                <w:sz w:val="18"/>
                <w:szCs w:val="18"/>
              </w:rPr>
              <w:t xml:space="preserve">Distress</w:t>
            </w:r>
          </w:p>
        </w:tc>
        <w:tc>
          <w:tcPr>
            <w:tcW w:type="dxa" w:w="1600"/>
          </w:tcPr>
          <w:p>
            <w:r>
              <w:rPr>
                <w:b/>
                <w:bCs/>
                <w:sz w:val="18"/>
                <w:szCs w:val="18"/>
              </w:rPr>
              <w:t xml:space="preserve">ASLE</w:t>
            </w:r>
          </w:p>
        </w:tc>
        <w:tc>
          <w:tcPr>
            <w:tcW w:type="dxa" w:w="1600"/>
          </w:tcPr>
          <w:p>
            <w:r>
              <w:rPr>
                <w:sz w:val="18"/>
                <w:szCs w:val="18"/>
              </w:rPr>
              <w:t xml:space="preserve">$268.7M</w:t>
            </w:r>
          </w:p>
        </w:tc>
        <w:tc>
          <w:tcPr>
            <w:tcW w:type="dxa" w:w="1600"/>
          </w:tcPr>
          <w:p>
            <w:r>
              <w:rPr>
                <w:sz w:val="18"/>
                <w:szCs w:val="18"/>
              </w:rPr>
              <w:t xml:space="preserve">$75.0M</w:t>
            </w:r>
          </w:p>
        </w:tc>
        <w:tc>
          <w:tcPr>
            <w:tcW w:type="dxa" w:w="1600"/>
          </w:tcPr>
          <w:p>
            <w:r>
              <w:rPr>
                <w:sz w:val="18"/>
                <w:szCs w:val="18"/>
              </w:rPr>
              <w:t xml:space="preserve">27.9%</w:t>
            </w:r>
          </w:p>
        </w:tc>
        <w:tc>
          <w:tcPr>
            <w:tcW w:type="dxa" w:w="1900"/>
          </w:tcPr>
          <w:p>
            <w:r>
              <w:rPr>
                <w:sz w:val="18"/>
                <w:szCs w:val="18"/>
              </w:rPr>
              <w:t xml:space="preserve">Medium-High</w:t>
            </w:r>
          </w:p>
        </w:tc>
      </w:tr>
      <w:tr>
        <w:tc>
          <w:tcPr>
            <w:tcW w:type="dxa" w:w="1300"/>
          </w:tcPr>
          <w:p>
            <w:r>
              <w:rPr>
                <w:sz w:val="18"/>
                <w:szCs w:val="18"/>
              </w:rPr>
              <w:t xml:space="preserve">Distress</w:t>
            </w:r>
          </w:p>
        </w:tc>
        <w:tc>
          <w:tcPr>
            <w:tcW w:type="dxa" w:w="1600"/>
          </w:tcPr>
          <w:p>
            <w:r>
              <w:rPr>
                <w:b/>
                <w:bCs/>
                <w:sz w:val="18"/>
                <w:szCs w:val="18"/>
              </w:rPr>
              <w:t xml:space="preserve">YDES</w:t>
            </w:r>
          </w:p>
        </w:tc>
        <w:tc>
          <w:tcPr>
            <w:tcW w:type="dxa" w:w="1600"/>
          </w:tcPr>
          <w:p>
            <w:r>
              <w:rPr>
                <w:sz w:val="18"/>
                <w:szCs w:val="18"/>
              </w:rPr>
              <w:t xml:space="preserve">$340.0M</w:t>
            </w:r>
          </w:p>
        </w:tc>
        <w:tc>
          <w:tcPr>
            <w:tcW w:type="dxa" w:w="1600"/>
          </w:tcPr>
          <w:p>
            <w:r>
              <w:rPr>
                <w:sz w:val="18"/>
                <w:szCs w:val="18"/>
              </w:rPr>
              <w:t xml:space="preserve">$35.0M</w:t>
            </w:r>
          </w:p>
        </w:tc>
        <w:tc>
          <w:tcPr>
            <w:tcW w:type="dxa" w:w="1600"/>
          </w:tcPr>
          <w:p>
            <w:r>
              <w:rPr>
                <w:sz w:val="18"/>
                <w:szCs w:val="18"/>
              </w:rPr>
              <w:t xml:space="preserve">10.3%</w:t>
            </w:r>
          </w:p>
        </w:tc>
        <w:tc>
          <w:tcPr>
            <w:tcW w:type="dxa" w:w="1900"/>
          </w:tcPr>
          <w:p>
            <w:r>
              <w:rPr>
                <w:sz w:val="18"/>
                <w:szCs w:val="18"/>
              </w:rPr>
              <w:t xml:space="preserve">Medium-High</w:t>
            </w:r>
          </w:p>
        </w:tc>
      </w:tr>
      <w:tr>
        <w:tc>
          <w:tcPr>
            <w:tcW w:type="dxa" w:w="1300"/>
          </w:tcPr>
          <w:p>
            <w:r>
              <w:rPr>
                <w:sz w:val="18"/>
                <w:szCs w:val="18"/>
              </w:rPr>
              <w:t xml:space="preserve">Distress</w:t>
            </w:r>
          </w:p>
        </w:tc>
        <w:tc>
          <w:tcPr>
            <w:tcW w:type="dxa" w:w="1600"/>
          </w:tcPr>
          <w:p>
            <w:r>
              <w:rPr>
                <w:b/>
                <w:bCs/>
                <w:sz w:val="18"/>
                <w:szCs w:val="18"/>
              </w:rPr>
              <w:t xml:space="preserve">GUTS</w:t>
            </w:r>
          </w:p>
        </w:tc>
        <w:tc>
          <w:tcPr>
            <w:tcW w:type="dxa" w:w="1600"/>
          </w:tcPr>
          <w:p>
            <w:r>
              <w:rPr>
                <w:sz w:val="18"/>
                <w:szCs w:val="18"/>
              </w:rPr>
              <w:t xml:space="preserve">$104.9M</w:t>
            </w:r>
          </w:p>
        </w:tc>
        <w:tc>
          <w:tcPr>
            <w:tcW w:type="dxa" w:w="1600"/>
          </w:tcPr>
          <w:p>
            <w:r>
              <w:rPr>
                <w:sz w:val="18"/>
                <w:szCs w:val="18"/>
              </w:rPr>
              <w:t xml:space="preserve">$35.0M</w:t>
            </w:r>
          </w:p>
        </w:tc>
        <w:tc>
          <w:tcPr>
            <w:tcW w:type="dxa" w:w="1600"/>
          </w:tcPr>
          <w:p>
            <w:r>
              <w:rPr>
                <w:sz w:val="18"/>
                <w:szCs w:val="18"/>
              </w:rPr>
              <w:t xml:space="preserve">33.4%</w:t>
            </w:r>
          </w:p>
        </w:tc>
        <w:tc>
          <w:tcPr>
            <w:tcW w:type="dxa" w:w="1900"/>
          </w:tcPr>
          <w:p>
            <w:r>
              <w:rPr>
                <w:sz w:val="18"/>
                <w:szCs w:val="18"/>
              </w:rPr>
              <w:t xml:space="preserve">High</w:t>
            </w:r>
          </w:p>
        </w:tc>
      </w:tr>
      <w:tr>
        <w:tc>
          <w:tcPr>
            <w:tcW w:type="dxa" w:w="1300"/>
          </w:tcPr>
          <w:p>
            <w:r>
              <w:rPr>
                <w:sz w:val="18"/>
                <w:szCs w:val="18"/>
              </w:rPr>
              <w:t xml:space="preserve">Distress</w:t>
            </w:r>
          </w:p>
        </w:tc>
        <w:tc>
          <w:tcPr>
            <w:tcW w:type="dxa" w:w="1600"/>
          </w:tcPr>
          <w:p>
            <w:r>
              <w:rPr>
                <w:b/>
                <w:bCs/>
                <w:sz w:val="18"/>
                <w:szCs w:val="18"/>
              </w:rPr>
              <w:t xml:space="preserve">GETY</w:t>
            </w:r>
          </w:p>
        </w:tc>
        <w:tc>
          <w:tcPr>
            <w:tcW w:type="dxa" w:w="1600"/>
          </w:tcPr>
          <w:p>
            <w:r>
              <w:rPr>
                <w:sz w:val="18"/>
                <w:szCs w:val="18"/>
              </w:rPr>
              <w:t xml:space="preserve">$105.9M</w:t>
            </w:r>
          </w:p>
        </w:tc>
        <w:tc>
          <w:tcPr>
            <w:tcW w:type="dxa" w:w="1600"/>
          </w:tcPr>
          <w:p>
            <w:r>
              <w:rPr>
                <w:sz w:val="18"/>
                <w:szCs w:val="18"/>
              </w:rPr>
              <w:t xml:space="preserve">$42.4M</w:t>
            </w:r>
          </w:p>
        </w:tc>
        <w:tc>
          <w:tcPr>
            <w:tcW w:type="dxa" w:w="1600"/>
          </w:tcPr>
          <w:p>
            <w:r>
              <w:rPr>
                <w:sz w:val="18"/>
                <w:szCs w:val="18"/>
              </w:rPr>
              <w:t xml:space="preserve">40.0%</w:t>
            </w:r>
          </w:p>
        </w:tc>
        <w:tc>
          <w:tcPr>
            <w:tcW w:type="dxa" w:w="1900"/>
          </w:tcPr>
          <w:p>
            <w:r>
              <w:rPr>
                <w:sz w:val="18"/>
                <w:szCs w:val="18"/>
              </w:rPr>
              <w:t xml:space="preserve">High</w:t>
            </w:r>
          </w:p>
        </w:tc>
      </w:tr>
      <w:tr>
        <w:tc>
          <w:tcPr>
            <w:tcW w:type="dxa" w:w="1300"/>
          </w:tcPr>
          <w:p>
            <w:r>
              <w:rPr>
                <w:sz w:val="18"/>
                <w:szCs w:val="18"/>
              </w:rPr>
              <w:t xml:space="preserve">Distress</w:t>
            </w:r>
          </w:p>
        </w:tc>
        <w:tc>
          <w:tcPr>
            <w:tcW w:type="dxa" w:w="1600"/>
          </w:tcPr>
          <w:p>
            <w:r>
              <w:rPr>
                <w:b/>
                <w:bCs/>
                <w:sz w:val="18"/>
                <w:szCs w:val="18"/>
              </w:rPr>
              <w:t xml:space="preserve">AMTX</w:t>
            </w:r>
          </w:p>
        </w:tc>
        <w:tc>
          <w:tcPr>
            <w:tcW w:type="dxa" w:w="1600"/>
          </w:tcPr>
          <w:p>
            <w:r>
              <w:rPr>
                <w:sz w:val="18"/>
                <w:szCs w:val="18"/>
              </w:rPr>
              <w:t xml:space="preserve">$134.2M</w:t>
            </w:r>
          </w:p>
        </w:tc>
        <w:tc>
          <w:tcPr>
            <w:tcW w:type="dxa" w:w="1600"/>
          </w:tcPr>
          <w:p>
            <w:r>
              <w:rPr>
                <w:sz w:val="18"/>
                <w:szCs w:val="18"/>
              </w:rPr>
              <w:t xml:space="preserve">$53.7M</w:t>
            </w:r>
          </w:p>
        </w:tc>
        <w:tc>
          <w:tcPr>
            <w:tcW w:type="dxa" w:w="1600"/>
          </w:tcPr>
          <w:p>
            <w:r>
              <w:rPr>
                <w:sz w:val="18"/>
                <w:szCs w:val="18"/>
              </w:rPr>
              <w:t xml:space="preserve">40.0%</w:t>
            </w:r>
          </w:p>
        </w:tc>
        <w:tc>
          <w:tcPr>
            <w:tcW w:type="dxa" w:w="1900"/>
          </w:tcPr>
          <w:p>
            <w:r>
              <w:rPr>
                <w:sz w:val="18"/>
                <w:szCs w:val="18"/>
              </w:rPr>
              <w:t xml:space="preserve">High</w:t>
            </w:r>
          </w:p>
        </w:tc>
      </w:tr>
      <w:tr>
        <w:tc>
          <w:tcPr>
            <w:tcW w:type="dxa" w:w="1300"/>
          </w:tcPr>
          <w:p>
            <w:r>
              <w:rPr>
                <w:sz w:val="18"/>
                <w:szCs w:val="18"/>
              </w:rPr>
              <w:t xml:space="preserve">Distress</w:t>
            </w:r>
          </w:p>
        </w:tc>
        <w:tc>
          <w:tcPr>
            <w:tcW w:type="dxa" w:w="1600"/>
          </w:tcPr>
          <w:p>
            <w:r>
              <w:rPr>
                <w:b/>
                <w:bCs/>
                <w:sz w:val="18"/>
                <w:szCs w:val="18"/>
              </w:rPr>
              <w:t xml:space="preserve">JELD</w:t>
            </w:r>
          </w:p>
        </w:tc>
        <w:tc>
          <w:tcPr>
            <w:tcW w:type="dxa" w:w="1600"/>
          </w:tcPr>
          <w:p>
            <w:r>
              <w:rPr>
                <w:sz w:val="18"/>
                <w:szCs w:val="18"/>
              </w:rPr>
              <w:t xml:space="preserve">$219.5M</w:t>
            </w:r>
          </w:p>
        </w:tc>
        <w:tc>
          <w:tcPr>
            <w:tcW w:type="dxa" w:w="1600"/>
          </w:tcPr>
          <w:p>
            <w:r>
              <w:rPr>
                <w:sz w:val="18"/>
                <w:szCs w:val="18"/>
              </w:rPr>
              <w:t xml:space="preserve">$87.8M</w:t>
            </w:r>
          </w:p>
        </w:tc>
        <w:tc>
          <w:tcPr>
            <w:tcW w:type="dxa" w:w="1600"/>
          </w:tcPr>
          <w:p>
            <w:r>
              <w:rPr>
                <w:sz w:val="18"/>
                <w:szCs w:val="18"/>
              </w:rPr>
              <w:t xml:space="preserve">40.0%</w:t>
            </w:r>
          </w:p>
        </w:tc>
        <w:tc>
          <w:tcPr>
            <w:tcW w:type="dxa" w:w="1900"/>
          </w:tcPr>
          <w:p>
            <w:r>
              <w:rPr>
                <w:sz w:val="18"/>
                <w:szCs w:val="18"/>
              </w:rPr>
              <w:t xml:space="preserve">Medium-High</w:t>
            </w:r>
          </w:p>
        </w:tc>
      </w:tr>
      <w:tr>
        <w:tc>
          <w:tcPr>
            <w:tcW w:type="dxa" w:w="1300"/>
          </w:tcPr>
          <w:p>
            <w:r/>
            <w:r>
              <w:t>Distress</w:t>
            </w:r>
          </w:p>
        </w:tc>
        <w:tc>
          <w:tcPr>
            <w:tcW w:type="dxa" w:w="1600"/>
          </w:tcPr>
          <w:p>
            <w:r/>
            <w:r>
              <w:rPr>
                <w:b/>
              </w:rPr>
              <w:t>BXBL</w:t>
            </w:r>
          </w:p>
        </w:tc>
        <w:tc>
          <w:tcPr>
            <w:tcW w:type="dxa" w:w="1600"/>
          </w:tcPr>
          <w:p>
            <w:r/>
            <w:r>
              <w:t>$968.4M</w:t>
            </w:r>
          </w:p>
        </w:tc>
        <w:tc>
          <w:tcPr>
            <w:tcW w:type="dxa" w:w="1600"/>
          </w:tcPr>
          <w:p>
            <w:r/>
            <w:r>
              <w:t>$75.0M</w:t>
            </w:r>
          </w:p>
        </w:tc>
        <w:tc>
          <w:tcPr>
            <w:tcW w:type="dxa" w:w="1600"/>
          </w:tcPr>
          <w:p>
            <w:r/>
            <w:r>
              <w:t>7.7%</w:t>
            </w:r>
          </w:p>
        </w:tc>
        <w:tc>
          <w:tcPr>
            <w:tcW w:type="dxa" w:w="1900"/>
          </w:tcPr>
          <w:p>
            <w:r/>
            <w:r>
              <w:t>High</w:t>
            </w:r>
          </w:p>
        </w:tc>
      </w:tr>
      <w:tr>
        <w:tc>
          <w:tcPr>
            <w:tcW w:type="dxa" w:w="1300"/>
          </w:tcPr>
          <w:p>
            <w:r>
              <w:rPr>
                <w:sz w:val="18"/>
                <w:szCs w:val="18"/>
              </w:rPr>
              <w:t xml:space="preserve">Distress</w:t>
            </w:r>
          </w:p>
        </w:tc>
        <w:tc>
          <w:tcPr>
            <w:tcW w:type="dxa" w:w="1600"/>
          </w:tcPr>
          <w:p>
            <w:r>
              <w:rPr>
                <w:b/>
                <w:bCs/>
                <w:sz w:val="18"/>
                <w:szCs w:val="18"/>
              </w:rPr>
              <w:t xml:space="preserve">LNSR</w:t>
            </w:r>
          </w:p>
        </w:tc>
        <w:tc>
          <w:tcPr>
            <w:tcW w:type="dxa" w:w="1600"/>
          </w:tcPr>
          <w:p>
            <w:r>
              <w:rPr>
                <w:sz w:val="18"/>
                <w:szCs w:val="18"/>
              </w:rPr>
              <w:t xml:space="preserve">$102.0M</w:t>
            </w:r>
          </w:p>
        </w:tc>
        <w:tc>
          <w:tcPr>
            <w:tcW w:type="dxa" w:w="1600"/>
          </w:tcPr>
          <w:p>
            <w:r>
              <w:rPr>
                <w:sz w:val="18"/>
                <w:szCs w:val="18"/>
              </w:rPr>
              <w:t xml:space="preserve">$20.0M</w:t>
            </w:r>
          </w:p>
        </w:tc>
        <w:tc>
          <w:tcPr>
            <w:tcW w:type="dxa" w:w="1600"/>
          </w:tcPr>
          <w:p>
            <w:r>
              <w:rPr>
                <w:sz w:val="18"/>
                <w:szCs w:val="18"/>
              </w:rPr>
              <w:t xml:space="preserve">19.6%</w:t>
            </w:r>
          </w:p>
        </w:tc>
        <w:tc>
          <w:tcPr>
            <w:tcW w:type="dxa" w:w="1900"/>
          </w:tcPr>
          <w:p>
            <w:r>
              <w:rPr>
                <w:sz w:val="18"/>
                <w:szCs w:val="18"/>
              </w:rPr>
              <w:t xml:space="preserve">Medium-High</w:t>
            </w:r>
          </w:p>
        </w:tc>
      </w:tr>
      <w:tr>
        <w:tc>
          <w:tcPr>
            <w:tcW w:type="dxa" w:w="1300"/>
          </w:tcPr>
          <w:p>
            <w:r>
              <w:rPr>
                <w:sz w:val="18"/>
                <w:szCs w:val="18"/>
              </w:rPr>
              <w:t xml:space="preserve">Distress</w:t>
            </w:r>
          </w:p>
        </w:tc>
        <w:tc>
          <w:tcPr>
            <w:tcW w:type="dxa" w:w="1600"/>
          </w:tcPr>
          <w:p>
            <w:r>
              <w:rPr>
                <w:b/>
                <w:bCs/>
                <w:sz w:val="18"/>
                <w:szCs w:val="18"/>
              </w:rPr>
              <w:t xml:space="preserve">LVWR</w:t>
            </w:r>
          </w:p>
        </w:tc>
        <w:tc>
          <w:tcPr>
            <w:tcW w:type="dxa" w:w="1600"/>
          </w:tcPr>
          <w:p>
            <w:r>
              <w:rPr>
                <w:sz w:val="18"/>
                <w:szCs w:val="18"/>
              </w:rPr>
              <w:t xml:space="preserve">$277.3M</w:t>
            </w:r>
          </w:p>
        </w:tc>
        <w:tc>
          <w:tcPr>
            <w:tcW w:type="dxa" w:w="1600"/>
          </w:tcPr>
          <w:p>
            <w:r>
              <w:rPr>
                <w:sz w:val="18"/>
                <w:szCs w:val="18"/>
              </w:rPr>
              <w:t xml:space="preserve">$80.0M</w:t>
            </w:r>
          </w:p>
        </w:tc>
        <w:tc>
          <w:tcPr>
            <w:tcW w:type="dxa" w:w="1600"/>
          </w:tcPr>
          <w:p>
            <w:r>
              <w:rPr>
                <w:sz w:val="18"/>
                <w:szCs w:val="18"/>
              </w:rPr>
              <w:t xml:space="preserve">28.8%</w:t>
            </w:r>
          </w:p>
        </w:tc>
        <w:tc>
          <w:tcPr>
            <w:tcW w:type="dxa" w:w="1900"/>
          </w:tcPr>
          <w:p>
            <w:r>
              <w:rPr>
                <w:sz w:val="18"/>
                <w:szCs w:val="18"/>
              </w:rPr>
              <w:t xml:space="preserve">High</w:t>
            </w:r>
          </w:p>
        </w:tc>
      </w:tr>
      <w:tr>
        <w:tc>
          <w:tcPr>
            <w:tcW w:type="dxa" w:w="1300"/>
          </w:tcPr>
          <w:p>
            <w:r>
              <w:rPr>
                <w:sz w:val="18"/>
                <w:szCs w:val="18"/>
              </w:rPr>
              <w:t xml:space="preserve">Distress</w:t>
            </w:r>
          </w:p>
        </w:tc>
        <w:tc>
          <w:tcPr>
            <w:tcW w:type="dxa" w:w="1600"/>
          </w:tcPr>
          <w:p>
            <w:r>
              <w:rPr>
                <w:b/>
                <w:bCs/>
                <w:sz w:val="18"/>
                <w:szCs w:val="18"/>
              </w:rPr>
              <w:t xml:space="preserve">OPTU</w:t>
            </w:r>
          </w:p>
        </w:tc>
        <w:tc>
          <w:tcPr>
            <w:tcW w:type="dxa" w:w="1600"/>
          </w:tcPr>
          <w:p>
            <w:r>
              <w:rPr>
                <w:sz w:val="18"/>
                <w:szCs w:val="18"/>
              </w:rPr>
              <w:t xml:space="preserve">$464.7M</w:t>
            </w:r>
          </w:p>
        </w:tc>
        <w:tc>
          <w:tcPr>
            <w:tcW w:type="dxa" w:w="1600"/>
          </w:tcPr>
          <w:p>
            <w:r>
              <w:rPr>
                <w:sz w:val="18"/>
                <w:szCs w:val="18"/>
              </w:rPr>
              <w:t xml:space="preserve">$186.0M</w:t>
            </w:r>
          </w:p>
        </w:tc>
        <w:tc>
          <w:tcPr>
            <w:tcW w:type="dxa" w:w="1600"/>
          </w:tcPr>
          <w:p>
            <w:r>
              <w:rPr>
                <w:sz w:val="18"/>
                <w:szCs w:val="18"/>
              </w:rPr>
              <w:t xml:space="preserve">40.0%</w:t>
            </w:r>
          </w:p>
        </w:tc>
        <w:tc>
          <w:tcPr>
            <w:tcW w:type="dxa" w:w="1900"/>
          </w:tcPr>
          <w:p>
            <w:r>
              <w:rPr>
                <w:sz w:val="18"/>
                <w:szCs w:val="18"/>
              </w:rPr>
              <w:t xml:space="preserve">High</w:t>
            </w:r>
          </w:p>
        </w:tc>
      </w:tr>
      <w:tr>
        <w:tc>
          <w:tcPr>
            <w:tcW w:type="dxa" w:w="1300"/>
          </w:tcPr>
          <w:p>
            <w:r>
              <w:t>Distress</w:t>
            </w:r>
          </w:p>
        </w:tc>
        <w:tc>
          <w:tcPr>
            <w:tcW w:type="dxa" w:w="1600"/>
          </w:tcPr>
          <w:p>
            <w:r>
              <w:t>INV</w:t>
            </w:r>
          </w:p>
        </w:tc>
        <w:tc>
          <w:tcPr>
            <w:tcW w:type="dxa" w:w="1600"/>
          </w:tcPr>
          <w:p>
            <w:r>
              <w:t>$106.6M</w:t>
            </w:r>
          </w:p>
        </w:tc>
        <w:tc>
          <w:tcPr>
            <w:tcW w:type="dxa" w:w="1600"/>
          </w:tcPr>
          <w:p>
            <w:r>
              <w:t>$35.0M</w:t>
            </w:r>
          </w:p>
        </w:tc>
        <w:tc>
          <w:tcPr>
            <w:tcW w:type="dxa" w:w="1600"/>
          </w:tcPr>
          <w:p>
            <w:r>
              <w:t>32.8%</w:t>
            </w:r>
          </w:p>
        </w:tc>
        <w:tc>
          <w:tcPr>
            <w:tcW w:type="dxa" w:w="1900"/>
          </w:tcPr>
          <w:p>
            <w:r>
              <w:t>High</w:t>
            </w:r>
          </w:p>
        </w:tc>
      </w:tr>
      <w:tr>
        <w:tc>
          <w:tcPr>
            <w:tcW w:type="dxa" w:w="1300"/>
          </w:tcPr>
          <w:p>
            <w:r>
              <w:t>Distress</w:t>
            </w:r>
          </w:p>
        </w:tc>
        <w:tc>
          <w:tcPr>
            <w:tcW w:type="dxa" w:w="1600"/>
          </w:tcPr>
          <w:p>
            <w:r>
              <w:t>NPWR</w:t>
            </w:r>
          </w:p>
        </w:tc>
        <w:tc>
          <w:tcPr>
            <w:tcW w:type="dxa" w:w="1600"/>
          </w:tcPr>
          <w:p>
            <w:r>
              <w:t>$411.5M</w:t>
            </w:r>
          </w:p>
        </w:tc>
        <w:tc>
          <w:tcPr>
            <w:tcW w:type="dxa" w:w="1600"/>
          </w:tcPr>
          <w:p>
            <w:r>
              <w:t>$150.0M</w:t>
            </w:r>
          </w:p>
        </w:tc>
        <w:tc>
          <w:tcPr>
            <w:tcW w:type="dxa" w:w="1600"/>
          </w:tcPr>
          <w:p>
            <w:r>
              <w:t>36.4%</w:t>
            </w:r>
          </w:p>
        </w:tc>
        <w:tc>
          <w:tcPr>
            <w:tcW w:type="dxa" w:w="1900"/>
          </w:tcPr>
          <w:p>
            <w:r>
              <w:t>Medium-High</w:t>
            </w:r>
          </w:p>
        </w:tc>
      </w:tr>
      <w:tr>
        <w:tc>
          <w:tcPr>
            <w:tcW w:type="dxa" w:w="1300"/>
          </w:tcPr>
          <w:p>
            <w:r>
              <w:t>Distress</w:t>
            </w:r>
          </w:p>
        </w:tc>
        <w:tc>
          <w:tcPr>
            <w:tcW w:type="dxa" w:w="1600"/>
          </w:tcPr>
          <w:p>
            <w:r>
              <w:t>RBBN</w:t>
            </w:r>
          </w:p>
        </w:tc>
        <w:tc>
          <w:tcPr>
            <w:tcW w:type="dxa" w:w="1600"/>
          </w:tcPr>
          <w:p>
            <w:r>
              <w:t>$363.0M</w:t>
            </w:r>
          </w:p>
        </w:tc>
        <w:tc>
          <w:tcPr>
            <w:tcW w:type="dxa" w:w="1600"/>
          </w:tcPr>
          <w:p>
            <w:r>
              <w:t>$75.0M</w:t>
            </w:r>
          </w:p>
        </w:tc>
        <w:tc>
          <w:tcPr>
            <w:tcW w:type="dxa" w:w="1600"/>
          </w:tcPr>
          <w:p>
            <w:r>
              <w:t>20.7%</w:t>
            </w:r>
          </w:p>
        </w:tc>
        <w:tc>
          <w:tcPr>
            <w:tcW w:type="dxa" w:w="1900"/>
          </w:tcPr>
          <w:p>
            <w:r>
              <w:t>Medium-High</w:t>
            </w:r>
          </w:p>
        </w:tc>
      </w:tr>
    </w:tbl>
    <w:p>
      <w:pPr>
        <w:pStyle w:val="Heading1"/>
        <w:spacing w:after="160" w:before="300"/>
      </w:pPr>
      <w:r>
        <w:t xml:space="preserve">Full Disposition — Earlier dry-run test (2026-08-30, single-candidate-per-screen test) + full prior run</w:t>
      </w:r>
    </w:p>
    <w:p>
      <w:pPr>
        <w:spacing w:after="160"/>
      </w:pPr>
      <w:r>
        <w:rPr>
          <w:i/>
          <w:iCs/>
          <w:color w:val="444444"/>
          <w:sz w:val="21"/>
          <w:szCs w:val="21"/>
        </w:rPr>
        <w:t xml:space="preserve">PGEN and ASLE came from an earlier same-day dry run (candidate lists briefly trimmed to one name per screen for a cheap routine test); AVIR, GLSI, and TKNO came from an earlier full run whose own 00_summary.docx disposition rows were later overwritten when the dry run regenerated this file (the one-pager .docx files themselves were preserved and are included in the Keep table above; their original disposition reasoning is no longer recoverable from this file). Preserved rows below are exactly as previously recorded, verbatim.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5700"/>
      </w:tblGrid>
      <w:tr>
        <w:tc>
          <w:tcPr>
            <w:tcW w:type="dxa" w:w="900"/>
            <w:shd w:fill="1F3864" w:color="auto" w:val="clear"/>
          </w:tcPr>
          <w:p>
            <w:r>
              <w:rPr>
                <w:b/>
                <w:bCs/>
                <w:color w:val="FFFFFF"/>
                <w:sz w:val="18"/>
                <w:szCs w:val="18"/>
              </w:rPr>
              <w:t xml:space="preserve">Screen</w:t>
            </w:r>
          </w:p>
        </w:tc>
        <w:tc>
          <w:tcPr>
            <w:tcW w:type="dxa" w:w="900"/>
            <w:shd w:fill="1F3864" w:color="auto" w:val="clear"/>
          </w:tcPr>
          <w:p>
            <w:r>
              <w:rPr>
                <w:b/>
                <w:bCs/>
                <w:color w:val="FFFFFF"/>
                <w:sz w:val="18"/>
                <w:szCs w:val="18"/>
              </w:rPr>
              <w:t xml:space="preserve">Ticker</w:t>
            </w:r>
          </w:p>
        </w:tc>
        <w:tc>
          <w:tcPr>
            <w:tcW w:type="dxa" w:w="900"/>
            <w:shd w:fill="1F3864" w:color="auto" w:val="clear"/>
          </w:tcPr>
          <w:p>
            <w:r>
              <w:rPr>
                <w:b/>
                <w:bCs/>
                <w:color w:val="FFFFFF"/>
                <w:sz w:val="18"/>
                <w:szCs w:val="18"/>
              </w:rPr>
              <w:t xml:space="preserve">Score</w:t>
            </w:r>
          </w:p>
        </w:tc>
        <w:tc>
          <w:tcPr>
            <w:tcW w:type="dxa" w:w="1200"/>
            <w:shd w:fill="1F3864" w:color="auto" w:val="clear"/>
          </w:tcPr>
          <w:p>
            <w:r>
              <w:rPr>
                <w:b/>
                <w:bCs/>
                <w:color w:val="FFFFFF"/>
                <w:sz w:val="18"/>
                <w:szCs w:val="18"/>
              </w:rPr>
              <w:t xml:space="preserve">Disposition</w:t>
            </w:r>
          </w:p>
        </w:tc>
        <w:tc>
          <w:tcPr>
            <w:tcW w:type="dxa" w:w="5700"/>
            <w:shd w:fill="1F3864" w:color="auto" w:val="clear"/>
          </w:tcPr>
          <w:p>
            <w:r>
              <w:rPr>
                <w:b/>
                <w:bCs/>
                <w:color w:val="FFFFFF"/>
                <w:sz w:val="18"/>
                <w:szCs w:val="18"/>
              </w:rPr>
              <w:t xml:space="preserve">Reason</w:t>
            </w:r>
          </w:p>
        </w:tc>
      </w:tr>
      <w:tr>
        <w:tc>
          <w:tcPr>
            <w:tcW w:type="dxa" w:w="900"/>
          </w:tcPr>
          <w:p>
            <w:r>
              <w:rPr>
                <w:sz w:val="18"/>
                <w:szCs w:val="18"/>
              </w:rPr>
              <w:t xml:space="preserve">Up</w:t>
            </w:r>
          </w:p>
        </w:tc>
        <w:tc>
          <w:tcPr>
            <w:tcW w:type="dxa" w:w="900"/>
          </w:tcPr>
          <w:p>
            <w:r>
              <w:rPr>
                <w:b/>
                <w:bCs/>
                <w:sz w:val="18"/>
                <w:szCs w:val="18"/>
              </w:rPr>
              <w:t xml:space="preserve">PGEN</w:t>
            </w:r>
          </w:p>
        </w:tc>
        <w:tc>
          <w:tcPr>
            <w:tcW w:type="dxa" w:w="900"/>
          </w:tcPr>
          <w:p>
            <w:r>
              <w:rPr>
                <w:sz w:val="18"/>
                <w:szCs w:val="18"/>
              </w:rPr>
              <w:t xml:space="preserve">80.2</w:t>
            </w:r>
          </w:p>
        </w:tc>
        <w:tc>
          <w:tcPr>
            <w:tcW w:type="dxa" w:w="1200"/>
          </w:tcPr>
          <w:p>
            <w:r>
              <w:rPr>
                <w:b/>
                <w:bCs/>
                <w:sz w:val="18"/>
                <w:szCs w:val="18"/>
              </w:rPr>
              <w:t xml:space="preserve">Keep</w:t>
            </w:r>
          </w:p>
        </w:tc>
        <w:tc>
          <w:tcPr>
            <w:tcW w:type="dxa" w:w="5700"/>
          </w:tcPr>
          <w:p>
            <w:r>
              <w:rPr>
                <w:sz w:val="17"/>
                <w:szCs w:val="17"/>
              </w:rPr>
              <w:t xml:space="preserve">Thin/falling cash ($38.7M, down $18M in one quarter) and management's own end-2026 breakeven target is contingent on collecting a specific $71.9M AR balance; no recent (within-window) PIPE; mixed (not anti-equity) financing history; stock up 54% into a fresh FDA approval/launch. One-pager written.</w:t>
            </w:r>
          </w:p>
        </w:tc>
      </w:tr>
      <w:tr>
        <w:tc>
          <w:tcPr>
            <w:tcW w:type="dxa" w:w="900"/>
          </w:tcPr>
          <w:p>
            <w:r>
              <w:rPr>
                <w:sz w:val="18"/>
                <w:szCs w:val="18"/>
              </w:rPr>
              <w:t xml:space="preserve">Distress</w:t>
            </w:r>
          </w:p>
        </w:tc>
        <w:tc>
          <w:tcPr>
            <w:tcW w:type="dxa" w:w="900"/>
          </w:tcPr>
          <w:p>
            <w:r>
              <w:rPr>
                <w:b/>
                <w:bCs/>
                <w:sz w:val="18"/>
                <w:szCs w:val="18"/>
              </w:rPr>
              <w:t xml:space="preserve">ASLE</w:t>
            </w:r>
          </w:p>
        </w:tc>
        <w:tc>
          <w:tcPr>
            <w:tcW w:type="dxa" w:w="900"/>
          </w:tcPr>
          <w:p>
            <w:r>
              <w:rPr>
                <w:sz w:val="18"/>
                <w:szCs w:val="18"/>
              </w:rPr>
              <w:t xml:space="preserve">72.2</w:t>
            </w:r>
          </w:p>
        </w:tc>
        <w:tc>
          <w:tcPr>
            <w:tcW w:type="dxa" w:w="1200"/>
          </w:tcPr>
          <w:p>
            <w:r>
              <w:rPr>
                <w:b/>
                <w:bCs/>
                <w:sz w:val="18"/>
                <w:szCs w:val="18"/>
              </w:rPr>
              <w:t xml:space="preserve">Keep</w:t>
            </w:r>
          </w:p>
        </w:tc>
        <w:tc>
          <w:tcPr>
            <w:tcW w:type="dxa" w:w="5700"/>
          </w:tcPr>
          <w:p>
            <w:r>
              <w:rPr>
                <w:sz w:val="17"/>
                <w:szCs w:val="17"/>
              </w:rPr>
              <w:t xml:space="preserve">Revolver utilization jumped from 63% to 82% drawn in 8 months ($148.2M of $180M facility) with only $2.2M cash and $31.8M availability left, funding a real leasing-portfolio buildout; no going-concern or delisting language found, but debt capacity is genuinely close to tapped out. One-pager written.</w:t>
            </w:r>
          </w:p>
        </w:tc>
      </w:tr>
    </w:tbl>
    <w:p>
      <w:pPr>
        <w:pStyle w:val="Heading1"/>
        <w:spacing w:after="160" w:before="300"/>
      </w:pPr>
      <w:r>
        <w:t xml:space="preserve">Full Disposition — Batch 1 (9PM ET 8/30): up-screen (all remaining) + first 40 distress-screen names</w:t>
      </w:r>
    </w:p>
    <w:p>
      <w:pPr>
        <w:spacing w:after="160"/>
      </w:pPr>
      <w:r>
        <w:rPr>
          <w:i/>
          <w:iCs/>
          <w:color w:val="444444"/>
          <w:sz w:val="21"/>
          <w:szCs w:val="21"/>
        </w:rPr>
        <w:t xml:space="preserve">INV and INDP could not be verified against current filings this run because the session's web-search budget was exhausted after the other 53 names; they are flagged for a standalone follow-up rather than given a guessed disposition.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5700"/>
      </w:tblGrid>
      <w:tr>
        <w:tc>
          <w:tcPr>
            <w:tcW w:type="dxa" w:w="900"/>
            <w:shd w:fill="1F3864" w:color="auto" w:val="clear"/>
          </w:tcPr>
          <w:p>
            <w:r>
              <w:rPr>
                <w:b/>
                <w:bCs/>
                <w:color w:val="FFFFFF"/>
                <w:sz w:val="18"/>
                <w:szCs w:val="18"/>
              </w:rPr>
              <w:t xml:space="preserve">Screen</w:t>
            </w:r>
          </w:p>
        </w:tc>
        <w:tc>
          <w:tcPr>
            <w:tcW w:type="dxa" w:w="900"/>
            <w:shd w:fill="1F3864" w:color="auto" w:val="clear"/>
          </w:tcPr>
          <w:p>
            <w:r>
              <w:rPr>
                <w:b/>
                <w:bCs/>
                <w:color w:val="FFFFFF"/>
                <w:sz w:val="18"/>
                <w:szCs w:val="18"/>
              </w:rPr>
              <w:t xml:space="preserve">Ticker</w:t>
            </w:r>
          </w:p>
        </w:tc>
        <w:tc>
          <w:tcPr>
            <w:tcW w:type="dxa" w:w="900"/>
            <w:shd w:fill="1F3864" w:color="auto" w:val="clear"/>
          </w:tcPr>
          <w:p>
            <w:r>
              <w:rPr>
                <w:b/>
                <w:bCs/>
                <w:color w:val="FFFFFF"/>
                <w:sz w:val="18"/>
                <w:szCs w:val="18"/>
              </w:rPr>
              <w:t xml:space="preserve">Score</w:t>
            </w:r>
          </w:p>
        </w:tc>
        <w:tc>
          <w:tcPr>
            <w:tcW w:type="dxa" w:w="1200"/>
            <w:shd w:fill="1F3864" w:color="auto" w:val="clear"/>
          </w:tcPr>
          <w:p>
            <w:r>
              <w:rPr>
                <w:b/>
                <w:bCs/>
                <w:color w:val="FFFFFF"/>
                <w:sz w:val="18"/>
                <w:szCs w:val="18"/>
              </w:rPr>
              <w:t xml:space="preserve">Disposition</w:t>
            </w:r>
          </w:p>
        </w:tc>
        <w:tc>
          <w:tcPr>
            <w:tcW w:type="dxa" w:w="5700"/>
            <w:shd w:fill="1F3864" w:color="auto" w:val="clear"/>
          </w:tcPr>
          <w:p>
            <w:r>
              <w:rPr>
                <w:b/>
                <w:bCs/>
                <w:color w:val="FFFFFF"/>
                <w:sz w:val="18"/>
                <w:szCs w:val="18"/>
              </w:rPr>
              <w:t xml:space="preserve">Reason</w:t>
            </w:r>
          </w:p>
        </w:tc>
      </w:tr>
      <w:tr>
        <w:tc>
          <w:tcPr>
            <w:tcW w:type="dxa" w:w="900"/>
          </w:tcPr>
          <w:p>
            <w:r>
              <w:rPr>
                <w:sz w:val="18"/>
                <w:szCs w:val="18"/>
              </w:rPr>
              <w:t xml:space="preserve">Up</w:t>
            </w:r>
          </w:p>
        </w:tc>
        <w:tc>
          <w:tcPr>
            <w:tcW w:type="dxa" w:w="900"/>
          </w:tcPr>
          <w:p>
            <w:r>
              <w:rPr>
                <w:b/>
                <w:bCs/>
                <w:sz w:val="18"/>
                <w:szCs w:val="18"/>
              </w:rPr>
              <w:t xml:space="preserve">LUNG</w:t>
            </w:r>
          </w:p>
        </w:tc>
        <w:tc>
          <w:tcPr>
            <w:tcW w:type="dxa" w:w="900"/>
          </w:tcPr>
          <w:p>
            <w:r>
              <w:rPr>
                <w:sz w:val="18"/>
                <w:szCs w:val="18"/>
              </w:rPr>
              <w:t xml:space="preserve">43.2</w:t>
            </w:r>
          </w:p>
        </w:tc>
        <w:tc>
          <w:tcPr>
            <w:tcW w:type="dxa" w:w="1200"/>
          </w:tcPr>
          <w:p>
            <w:r>
              <w:rPr>
                <w:b w:val="false"/>
                <w:bCs w:val="false"/>
                <w:sz w:val="18"/>
                <w:szCs w:val="18"/>
              </w:rPr>
              <w:t xml:space="preserve">Drop</w:t>
            </w:r>
          </w:p>
        </w:tc>
        <w:tc>
          <w:tcPr>
            <w:tcW w:type="dxa" w:w="5700"/>
          </w:tcPr>
          <w:p>
            <w:r>
              <w:rPr>
                <w:sz w:val="17"/>
                <w:szCs w:val="17"/>
              </w:rPr>
              <w:t xml:space="preserve">Not profitable but just drew $40M of a new $60M Perceptive debt facility (Mar 2026) and has an unused $200M shelf; revealed preference for debt, no dated equity catalyst.</w:t>
            </w:r>
          </w:p>
        </w:tc>
      </w:tr>
      <w:tr>
        <w:tc>
          <w:tcPr>
            <w:tcW w:type="dxa" w:w="900"/>
          </w:tcPr>
          <w:p>
            <w:r>
              <w:rPr>
                <w:sz w:val="18"/>
                <w:szCs w:val="18"/>
              </w:rPr>
              <w:t xml:space="preserve">Up</w:t>
            </w:r>
          </w:p>
        </w:tc>
        <w:tc>
          <w:tcPr>
            <w:tcW w:type="dxa" w:w="900"/>
          </w:tcPr>
          <w:p>
            <w:r>
              <w:rPr>
                <w:b/>
                <w:bCs/>
                <w:sz w:val="18"/>
                <w:szCs w:val="18"/>
              </w:rPr>
              <w:t xml:space="preserve">RFL</w:t>
            </w:r>
          </w:p>
        </w:tc>
        <w:tc>
          <w:tcPr>
            <w:tcW w:type="dxa" w:w="900"/>
          </w:tcPr>
          <w:p>
            <w:r>
              <w:rPr>
                <w:sz w:val="18"/>
                <w:szCs w:val="18"/>
              </w:rPr>
              <w:t xml:space="preserve">37.5</w:t>
            </w:r>
          </w:p>
        </w:tc>
        <w:tc>
          <w:tcPr>
            <w:tcW w:type="dxa" w:w="1200"/>
          </w:tcPr>
          <w:p>
            <w:r>
              <w:rPr>
                <w:b w:val="false"/>
                <w:bCs w:val="false"/>
                <w:sz w:val="18"/>
                <w:szCs w:val="18"/>
              </w:rPr>
              <w:t xml:space="preserve">Drop</w:t>
            </w:r>
          </w:p>
        </w:tc>
        <w:tc>
          <w:tcPr>
            <w:tcW w:type="dxa" w:w="5700"/>
          </w:tcPr>
          <w:p>
            <w:r>
              <w:rPr>
                <w:sz w:val="17"/>
                <w:szCs w:val="17"/>
              </w:rPr>
              <w:t xml:space="preserve">Closed a $25M rights offering roughly 14 months ago (inside/borderline the 15-month primary-offering lookback) and already carries ~$688M of convertible debt; genuine H2-2026 NDA catalyst but recent equity history disqualifies.</w:t>
            </w:r>
          </w:p>
        </w:tc>
      </w:tr>
      <w:tr>
        <w:tc>
          <w:tcPr>
            <w:tcW w:type="dxa" w:w="900"/>
          </w:tcPr>
          <w:p>
            <w:r>
              <w:rPr>
                <w:sz w:val="18"/>
                <w:szCs w:val="18"/>
              </w:rPr>
              <w:t xml:space="preserve">Up</w:t>
            </w:r>
          </w:p>
        </w:tc>
        <w:tc>
          <w:tcPr>
            <w:tcW w:type="dxa" w:w="900"/>
          </w:tcPr>
          <w:p>
            <w:r>
              <w:rPr>
                <w:b/>
                <w:bCs/>
                <w:sz w:val="18"/>
                <w:szCs w:val="18"/>
              </w:rPr>
              <w:t xml:space="preserve">NEO</w:t>
            </w:r>
          </w:p>
        </w:tc>
        <w:tc>
          <w:tcPr>
            <w:tcW w:type="dxa" w:w="900"/>
          </w:tcPr>
          <w:p>
            <w:r>
              <w:rPr>
                <w:sz w:val="18"/>
                <w:szCs w:val="18"/>
              </w:rPr>
              <w:t xml:space="preserve">36.3</w:t>
            </w:r>
          </w:p>
        </w:tc>
        <w:tc>
          <w:tcPr>
            <w:tcW w:type="dxa" w:w="1200"/>
          </w:tcPr>
          <w:p>
            <w:r>
              <w:rPr>
                <w:b w:val="false"/>
                <w:bCs w:val="false"/>
                <w:sz w:val="18"/>
                <w:szCs w:val="18"/>
              </w:rPr>
              <w:t xml:space="preserve">Drop</w:t>
            </w:r>
          </w:p>
        </w:tc>
        <w:tc>
          <w:tcPr>
            <w:tcW w:type="dxa" w:w="5700"/>
          </w:tcPr>
          <w:p>
            <w:r>
              <w:rPr>
                <w:sz w:val="17"/>
                <w:szCs w:val="17"/>
              </w:rPr>
              <w:t xml:space="preserve">Returned to one quarter of profitability and just raised $275M via convertible notes (Jun 2026) rather than common equity; revealed non-equity financing preference.</w:t>
            </w:r>
          </w:p>
        </w:tc>
      </w:tr>
      <w:tr>
        <w:tc>
          <w:tcPr>
            <w:tcW w:type="dxa" w:w="900"/>
          </w:tcPr>
          <w:p>
            <w:r>
              <w:rPr>
                <w:sz w:val="18"/>
                <w:szCs w:val="18"/>
              </w:rPr>
              <w:t xml:space="preserve">Up</w:t>
            </w:r>
          </w:p>
        </w:tc>
        <w:tc>
          <w:tcPr>
            <w:tcW w:type="dxa" w:w="900"/>
          </w:tcPr>
          <w:p>
            <w:r>
              <w:rPr>
                <w:b/>
                <w:bCs/>
                <w:sz w:val="18"/>
                <w:szCs w:val="18"/>
              </w:rPr>
              <w:t xml:space="preserve">NEOG</w:t>
            </w:r>
          </w:p>
        </w:tc>
        <w:tc>
          <w:tcPr>
            <w:tcW w:type="dxa" w:w="900"/>
          </w:tcPr>
          <w:p>
            <w:r>
              <w:rPr>
                <w:sz w:val="18"/>
                <w:szCs w:val="18"/>
              </w:rPr>
              <w:t xml:space="preserve">34.2</w:t>
            </w:r>
          </w:p>
        </w:tc>
        <w:tc>
          <w:tcPr>
            <w:tcW w:type="dxa" w:w="1200"/>
          </w:tcPr>
          <w:p>
            <w:r>
              <w:rPr>
                <w:b w:val="false"/>
                <w:bCs w:val="false"/>
                <w:sz w:val="18"/>
                <w:szCs w:val="18"/>
              </w:rPr>
              <w:t xml:space="preserve">Drop</w:t>
            </w:r>
          </w:p>
        </w:tc>
        <w:tc>
          <w:tcPr>
            <w:tcW w:type="dxa" w:w="5700"/>
          </w:tcPr>
          <w:p>
            <w:r>
              <w:rPr>
                <w:sz w:val="17"/>
                <w:szCs w:val="17"/>
              </w:rPr>
              <w:t xml:space="preserve">Financing itself via a $160M asset sale (Genomics business to Zoetis, announced Mar 2026) to cut debt, not equity; adjusted-EBITDA profitable.</w:t>
            </w:r>
          </w:p>
        </w:tc>
      </w:tr>
      <w:tr>
        <w:tc>
          <w:tcPr>
            <w:tcW w:type="dxa" w:w="900"/>
          </w:tcPr>
          <w:p>
            <w:r>
              <w:rPr>
                <w:sz w:val="18"/>
                <w:szCs w:val="18"/>
              </w:rPr>
              <w:t xml:space="preserve">Up</w:t>
            </w:r>
          </w:p>
        </w:tc>
        <w:tc>
          <w:tcPr>
            <w:tcW w:type="dxa" w:w="900"/>
          </w:tcPr>
          <w:p>
            <w:r>
              <w:rPr>
                <w:b/>
                <w:bCs/>
                <w:sz w:val="18"/>
                <w:szCs w:val="18"/>
              </w:rPr>
              <w:t xml:space="preserve">NCSM</w:t>
            </w:r>
          </w:p>
        </w:tc>
        <w:tc>
          <w:tcPr>
            <w:tcW w:type="dxa" w:w="900"/>
          </w:tcPr>
          <w:p>
            <w:r>
              <w:rPr>
                <w:sz w:val="18"/>
                <w:szCs w:val="18"/>
              </w:rPr>
              <w:t xml:space="preserve">32.2</w:t>
            </w:r>
          </w:p>
        </w:tc>
        <w:tc>
          <w:tcPr>
            <w:tcW w:type="dxa" w:w="1200"/>
          </w:tcPr>
          <w:p>
            <w:r>
              <w:rPr>
                <w:b w:val="false"/>
                <w:bCs w:val="false"/>
                <w:sz w:val="18"/>
                <w:szCs w:val="18"/>
              </w:rPr>
              <w:t xml:space="preserve">Drop</w:t>
            </w:r>
          </w:p>
        </w:tc>
        <w:tc>
          <w:tcPr>
            <w:tcW w:type="dxa" w:w="5700"/>
          </w:tcPr>
          <w:p>
            <w:r>
              <w:rPr>
                <w:sz w:val="17"/>
                <w:szCs w:val="17"/>
              </w:rPr>
              <w:t xml:space="preserve">Being acquired by Weatherford, closing ~Sept 1, 2026; an independent equity-raise thesis is moot with the deal imminent.</w:t>
            </w:r>
          </w:p>
        </w:tc>
      </w:tr>
      <w:tr>
        <w:tc>
          <w:tcPr>
            <w:tcW w:type="dxa" w:w="900"/>
          </w:tcPr>
          <w:p>
            <w:r>
              <w:rPr>
                <w:sz w:val="18"/>
                <w:szCs w:val="18"/>
              </w:rPr>
              <w:t xml:space="preserve">Up</w:t>
            </w:r>
          </w:p>
        </w:tc>
        <w:tc>
          <w:tcPr>
            <w:tcW w:type="dxa" w:w="900"/>
          </w:tcPr>
          <w:p>
            <w:r>
              <w:rPr>
                <w:b/>
                <w:bCs/>
                <w:sz w:val="18"/>
                <w:szCs w:val="18"/>
              </w:rPr>
              <w:t xml:space="preserve">DWSN</w:t>
            </w:r>
          </w:p>
        </w:tc>
        <w:tc>
          <w:tcPr>
            <w:tcW w:type="dxa" w:w="900"/>
          </w:tcPr>
          <w:p>
            <w:r>
              <w:rPr>
                <w:sz w:val="18"/>
                <w:szCs w:val="18"/>
              </w:rPr>
              <w:t xml:space="preserve">32.2</w:t>
            </w:r>
          </w:p>
        </w:tc>
        <w:tc>
          <w:tcPr>
            <w:tcW w:type="dxa" w:w="1200"/>
          </w:tcPr>
          <w:p>
            <w:r>
              <w:rPr>
                <w:b w:val="false"/>
                <w:bCs w:val="false"/>
                <w:sz w:val="18"/>
                <w:szCs w:val="18"/>
              </w:rPr>
              <w:t xml:space="preserve">Drop</w:t>
            </w:r>
          </w:p>
        </w:tc>
        <w:tc>
          <w:tcPr>
            <w:tcW w:type="dxa" w:w="5700"/>
          </w:tcPr>
          <w:p>
            <w:r>
              <w:rPr>
                <w:sz w:val="17"/>
                <w:szCs w:val="17"/>
              </w:rPr>
              <w:t xml:space="preserve">Turned profitable in H1 2026 on 111% revenue growth and finances equipment via debt notes, not equity; no genuine capital need.</w:t>
            </w:r>
          </w:p>
        </w:tc>
      </w:tr>
      <w:tr>
        <w:tc>
          <w:tcPr>
            <w:tcW w:type="dxa" w:w="900"/>
          </w:tcPr>
          <w:p>
            <w:r>
              <w:rPr>
                <w:sz w:val="18"/>
                <w:szCs w:val="18"/>
              </w:rPr>
              <w:t xml:space="preserve">Up</w:t>
            </w:r>
          </w:p>
        </w:tc>
        <w:tc>
          <w:tcPr>
            <w:tcW w:type="dxa" w:w="900"/>
          </w:tcPr>
          <w:p>
            <w:r>
              <w:rPr>
                <w:b/>
                <w:bCs/>
                <w:sz w:val="18"/>
                <w:szCs w:val="18"/>
              </w:rPr>
              <w:t xml:space="preserve">UFI</w:t>
            </w:r>
          </w:p>
        </w:tc>
        <w:tc>
          <w:tcPr>
            <w:tcW w:type="dxa" w:w="900"/>
          </w:tcPr>
          <w:p>
            <w:r>
              <w:rPr>
                <w:sz w:val="18"/>
                <w:szCs w:val="18"/>
              </w:rPr>
              <w:t xml:space="preserve">30.2</w:t>
            </w:r>
          </w:p>
        </w:tc>
        <w:tc>
          <w:tcPr>
            <w:tcW w:type="dxa" w:w="1200"/>
          </w:tcPr>
          <w:p>
            <w:r>
              <w:rPr>
                <w:b w:val="false"/>
                <w:bCs w:val="false"/>
                <w:sz w:val="18"/>
                <w:szCs w:val="18"/>
              </w:rPr>
              <w:t xml:space="preserve">Drop</w:t>
            </w:r>
          </w:p>
        </w:tc>
        <w:tc>
          <w:tcPr>
            <w:tcW w:type="dxa" w:w="5700"/>
          </w:tcPr>
          <w:p>
            <w:r>
              <w:rPr>
                <w:sz w:val="17"/>
                <w:szCs w:val="17"/>
              </w:rPr>
              <w:t xml:space="preserve">Financing itself via a $60M real-estate asset sale (Aug 2026) to deleverage rather than equity; revealed asset-sale preference.</w:t>
            </w:r>
          </w:p>
        </w:tc>
      </w:tr>
      <w:tr>
        <w:tc>
          <w:tcPr>
            <w:tcW w:type="dxa" w:w="900"/>
          </w:tcPr>
          <w:p>
            <w:r>
              <w:rPr>
                <w:sz w:val="18"/>
                <w:szCs w:val="18"/>
              </w:rPr>
              <w:t xml:space="preserve">Up</w:t>
            </w:r>
          </w:p>
        </w:tc>
        <w:tc>
          <w:tcPr>
            <w:tcW w:type="dxa" w:w="900"/>
          </w:tcPr>
          <w:p>
            <w:r>
              <w:rPr>
                <w:b/>
                <w:bCs/>
                <w:sz w:val="18"/>
                <w:szCs w:val="18"/>
              </w:rPr>
              <w:t xml:space="preserve">TLYS</w:t>
            </w:r>
          </w:p>
        </w:tc>
        <w:tc>
          <w:tcPr>
            <w:tcW w:type="dxa" w:w="900"/>
          </w:tcPr>
          <w:p>
            <w:r>
              <w:rPr>
                <w:sz w:val="18"/>
                <w:szCs w:val="18"/>
              </w:rPr>
              <w:t xml:space="preserve">30.2</w:t>
            </w:r>
          </w:p>
        </w:tc>
        <w:tc>
          <w:tcPr>
            <w:tcW w:type="dxa" w:w="1200"/>
          </w:tcPr>
          <w:p>
            <w:r>
              <w:rPr>
                <w:b w:val="false"/>
                <w:bCs w:val="false"/>
                <w:sz w:val="18"/>
                <w:szCs w:val="18"/>
              </w:rPr>
              <w:t xml:space="preserve">Drop</w:t>
            </w:r>
          </w:p>
        </w:tc>
        <w:tc>
          <w:tcPr>
            <w:tcW w:type="dxa" w:w="5700"/>
          </w:tcPr>
          <w:p>
            <w:r>
              <w:rPr>
                <w:sz w:val="17"/>
                <w:szCs w:val="17"/>
              </w:rPr>
              <w:t xml:space="preserve">Ample liquidity ($41M cash, no ABL drawn, $50.7M undrawn) and improving profitability; no funding need.</w:t>
            </w:r>
          </w:p>
        </w:tc>
      </w:tr>
      <w:tr>
        <w:tc>
          <w:tcPr>
            <w:tcW w:type="dxa" w:w="900"/>
          </w:tcPr>
          <w:p>
            <w:r>
              <w:rPr>
                <w:sz w:val="18"/>
                <w:szCs w:val="18"/>
              </w:rPr>
              <w:t xml:space="preserve">Up</w:t>
            </w:r>
          </w:p>
        </w:tc>
        <w:tc>
          <w:tcPr>
            <w:tcW w:type="dxa" w:w="900"/>
          </w:tcPr>
          <w:p>
            <w:r>
              <w:rPr>
                <w:b/>
                <w:bCs/>
                <w:sz w:val="18"/>
                <w:szCs w:val="18"/>
              </w:rPr>
              <w:t xml:space="preserve">DLTH</w:t>
            </w:r>
          </w:p>
        </w:tc>
        <w:tc>
          <w:tcPr>
            <w:tcW w:type="dxa" w:w="900"/>
          </w:tcPr>
          <w:p>
            <w:r>
              <w:rPr>
                <w:sz w:val="18"/>
                <w:szCs w:val="18"/>
              </w:rPr>
              <w:t xml:space="preserve">30.2</w:t>
            </w:r>
          </w:p>
        </w:tc>
        <w:tc>
          <w:tcPr>
            <w:tcW w:type="dxa" w:w="1200"/>
          </w:tcPr>
          <w:p>
            <w:r>
              <w:rPr>
                <w:b w:val="false"/>
                <w:bCs w:val="false"/>
                <w:sz w:val="18"/>
                <w:szCs w:val="18"/>
              </w:rPr>
              <w:t xml:space="preserve">Drop</w:t>
            </w:r>
          </w:p>
        </w:tc>
        <w:tc>
          <w:tcPr>
            <w:tcW w:type="dxa" w:w="5700"/>
          </w:tcPr>
          <w:p>
            <w:r>
              <w:rPr>
                <w:sz w:val="17"/>
                <w:szCs w:val="17"/>
              </w:rPr>
              <w:t xml:space="preserve">Debt-free with $141.3M net liquidity against a ~$140M market cap; no capital need of any kind.</w:t>
            </w:r>
          </w:p>
        </w:tc>
      </w:tr>
      <w:tr>
        <w:tc>
          <w:tcPr>
            <w:tcW w:type="dxa" w:w="900"/>
          </w:tcPr>
          <w:p>
            <w:r>
              <w:rPr>
                <w:sz w:val="18"/>
                <w:szCs w:val="18"/>
              </w:rPr>
              <w:t xml:space="preserve">Up</w:t>
            </w:r>
          </w:p>
        </w:tc>
        <w:tc>
          <w:tcPr>
            <w:tcW w:type="dxa" w:w="900"/>
          </w:tcPr>
          <w:p>
            <w:r>
              <w:rPr>
                <w:b/>
                <w:bCs/>
                <w:sz w:val="18"/>
                <w:szCs w:val="18"/>
              </w:rPr>
              <w:t xml:space="preserve">BKD</w:t>
            </w:r>
          </w:p>
        </w:tc>
        <w:tc>
          <w:tcPr>
            <w:tcW w:type="dxa" w:w="900"/>
          </w:tcPr>
          <w:p>
            <w:r>
              <w:rPr>
                <w:sz w:val="18"/>
                <w:szCs w:val="18"/>
              </w:rPr>
              <w:t xml:space="preserve">30.2</w:t>
            </w:r>
          </w:p>
        </w:tc>
        <w:tc>
          <w:tcPr>
            <w:tcW w:type="dxa" w:w="1200"/>
          </w:tcPr>
          <w:p>
            <w:r>
              <w:rPr>
                <w:b w:val="false"/>
                <w:bCs w:val="false"/>
                <w:sz w:val="18"/>
                <w:szCs w:val="18"/>
              </w:rPr>
              <w:t xml:space="preserve">Drop</w:t>
            </w:r>
          </w:p>
        </w:tc>
        <w:tc>
          <w:tcPr>
            <w:tcW w:type="dxa" w:w="5700"/>
          </w:tcPr>
          <w:p>
            <w:r>
              <w:rPr>
                <w:sz w:val="17"/>
                <w:szCs w:val="17"/>
              </w:rPr>
              <w:t xml:space="preserve">Returned to profitability (Q2 net income $23.3M) and financed its balance sheet via ~$785M of 2026 debt refinancings, not equity.</w:t>
            </w:r>
          </w:p>
        </w:tc>
      </w:tr>
      <w:tr>
        <w:tc>
          <w:tcPr>
            <w:tcW w:type="dxa" w:w="900"/>
          </w:tcPr>
          <w:p>
            <w:r>
              <w:rPr>
                <w:sz w:val="18"/>
                <w:szCs w:val="18"/>
              </w:rPr>
              <w:t xml:space="preserve">Up</w:t>
            </w:r>
          </w:p>
        </w:tc>
        <w:tc>
          <w:tcPr>
            <w:tcW w:type="dxa" w:w="900"/>
          </w:tcPr>
          <w:p>
            <w:r>
              <w:rPr>
                <w:b/>
                <w:bCs/>
                <w:sz w:val="18"/>
                <w:szCs w:val="18"/>
              </w:rPr>
              <w:t xml:space="preserve">ZYME</w:t>
            </w:r>
          </w:p>
        </w:tc>
        <w:tc>
          <w:tcPr>
            <w:tcW w:type="dxa" w:w="900"/>
          </w:tcPr>
          <w:p>
            <w:r>
              <w:rPr>
                <w:sz w:val="18"/>
                <w:szCs w:val="18"/>
              </w:rPr>
              <w:t xml:space="preserve">28.2</w:t>
            </w:r>
          </w:p>
        </w:tc>
        <w:tc>
          <w:tcPr>
            <w:tcW w:type="dxa" w:w="1200"/>
          </w:tcPr>
          <w:p>
            <w:r>
              <w:rPr>
                <w:b w:val="false"/>
                <w:bCs w:val="false"/>
                <w:sz w:val="18"/>
                <w:szCs w:val="18"/>
              </w:rPr>
              <w:t xml:space="preserve">Drop</w:t>
            </w:r>
          </w:p>
        </w:tc>
        <w:tc>
          <w:tcPr>
            <w:tcW w:type="dxa" w:w="5700"/>
          </w:tcPr>
          <w:p>
            <w:r>
              <w:rPr>
                <w:sz w:val="17"/>
                <w:szCs w:val="17"/>
              </w:rPr>
              <w:t xml:space="preserve">Ample cash ($322.5M, 8+ quarters of runway) and just took a $250M non-dilutive royalty-backed note from Royalty Pharma instead of equity.</w:t>
            </w:r>
          </w:p>
        </w:tc>
      </w:tr>
      <w:tr>
        <w:tc>
          <w:tcPr>
            <w:tcW w:type="dxa" w:w="900"/>
          </w:tcPr>
          <w:p>
            <w:r>
              <w:rPr>
                <w:sz w:val="18"/>
                <w:szCs w:val="18"/>
              </w:rPr>
              <w:t xml:space="preserve">Up</w:t>
            </w:r>
          </w:p>
        </w:tc>
        <w:tc>
          <w:tcPr>
            <w:tcW w:type="dxa" w:w="900"/>
          </w:tcPr>
          <w:p>
            <w:r>
              <w:rPr>
                <w:b/>
                <w:bCs/>
                <w:sz w:val="18"/>
                <w:szCs w:val="18"/>
              </w:rPr>
              <w:t xml:space="preserve">INTT</w:t>
            </w:r>
          </w:p>
        </w:tc>
        <w:tc>
          <w:tcPr>
            <w:tcW w:type="dxa" w:w="900"/>
          </w:tcPr>
          <w:p>
            <w:r>
              <w:rPr>
                <w:sz w:val="18"/>
                <w:szCs w:val="18"/>
              </w:rPr>
              <w:t xml:space="preserve">28.2</w:t>
            </w:r>
          </w:p>
        </w:tc>
        <w:tc>
          <w:tcPr>
            <w:tcW w:type="dxa" w:w="1200"/>
          </w:tcPr>
          <w:p>
            <w:r>
              <w:rPr>
                <w:b w:val="false"/>
                <w:bCs w:val="false"/>
                <w:sz w:val="18"/>
                <w:szCs w:val="18"/>
              </w:rPr>
              <w:t xml:space="preserve">Drop</w:t>
            </w:r>
          </w:p>
        </w:tc>
        <w:tc>
          <w:tcPr>
            <w:tcW w:type="dxa" w:w="5700"/>
          </w:tcPr>
          <w:p>
            <w:r>
              <w:rPr>
                <w:sz w:val="17"/>
                <w:szCs w:val="17"/>
              </w:rPr>
              <w:t xml:space="preserve">Returned to profitability in both Q1 and Q2 2026; no dividend override, but no genuine capital need either.</w:t>
            </w:r>
          </w:p>
        </w:tc>
      </w:tr>
      <w:tr>
        <w:tc>
          <w:tcPr>
            <w:tcW w:type="dxa" w:w="900"/>
          </w:tcPr>
          <w:p>
            <w:r>
              <w:rPr>
                <w:sz w:val="18"/>
                <w:szCs w:val="18"/>
              </w:rPr>
              <w:t xml:space="preserve">Up</w:t>
            </w:r>
          </w:p>
        </w:tc>
        <w:tc>
          <w:tcPr>
            <w:tcW w:type="dxa" w:w="900"/>
          </w:tcPr>
          <w:p>
            <w:r>
              <w:rPr>
                <w:b/>
                <w:bCs/>
                <w:sz w:val="18"/>
                <w:szCs w:val="18"/>
              </w:rPr>
              <w:t xml:space="preserve">BWEN</w:t>
            </w:r>
          </w:p>
        </w:tc>
        <w:tc>
          <w:tcPr>
            <w:tcW w:type="dxa" w:w="900"/>
          </w:tcPr>
          <w:p>
            <w:r>
              <w:rPr>
                <w:sz w:val="18"/>
                <w:szCs w:val="18"/>
              </w:rPr>
              <w:t xml:space="preserve">28.2</w:t>
            </w:r>
          </w:p>
        </w:tc>
        <w:tc>
          <w:tcPr>
            <w:tcW w:type="dxa" w:w="1200"/>
          </w:tcPr>
          <w:p>
            <w:r>
              <w:rPr>
                <w:b w:val="false"/>
                <w:bCs w:val="false"/>
                <w:sz w:val="18"/>
                <w:szCs w:val="18"/>
              </w:rPr>
              <w:t xml:space="preserve">Drop</w:t>
            </w:r>
          </w:p>
        </w:tc>
        <w:tc>
          <w:tcPr>
            <w:tcW w:type="dxa" w:w="5700"/>
          </w:tcPr>
          <w:p>
            <w:r>
              <w:rPr>
                <w:sz w:val="17"/>
                <w:szCs w:val="17"/>
              </w:rPr>
              <w:t xml:space="preserve">Financing itself through asset sales (Abilene facility sold Apr 2026, Manitowoc 2025) rather than equity; revealed asset-sale preference.</w:t>
            </w:r>
          </w:p>
        </w:tc>
      </w:tr>
      <w:tr>
        <w:tc>
          <w:tcPr>
            <w:tcW w:type="dxa" w:w="900"/>
          </w:tcPr>
          <w:p>
            <w:r>
              <w:rPr>
                <w:sz w:val="18"/>
                <w:szCs w:val="18"/>
              </w:rPr>
              <w:t xml:space="preserve">Up</w:t>
            </w:r>
          </w:p>
        </w:tc>
        <w:tc>
          <w:tcPr>
            <w:tcW w:type="dxa" w:w="900"/>
          </w:tcPr>
          <w:p>
            <w:r>
              <w:rPr>
                <w:b/>
                <w:bCs/>
                <w:sz w:val="18"/>
                <w:szCs w:val="18"/>
              </w:rPr>
              <w:t xml:space="preserve">ARQT</w:t>
            </w:r>
          </w:p>
        </w:tc>
        <w:tc>
          <w:tcPr>
            <w:tcW w:type="dxa" w:w="900"/>
          </w:tcPr>
          <w:p>
            <w:r>
              <w:rPr>
                <w:sz w:val="18"/>
                <w:szCs w:val="18"/>
              </w:rPr>
              <w:t xml:space="preserve">27.2</w:t>
            </w:r>
          </w:p>
        </w:tc>
        <w:tc>
          <w:tcPr>
            <w:tcW w:type="dxa" w:w="1200"/>
          </w:tcPr>
          <w:p>
            <w:r>
              <w:rPr>
                <w:b w:val="false"/>
                <w:bCs w:val="false"/>
                <w:sz w:val="18"/>
                <w:szCs w:val="18"/>
              </w:rPr>
              <w:t xml:space="preserve">Drop</w:t>
            </w:r>
          </w:p>
        </w:tc>
        <w:tc>
          <w:tcPr>
            <w:tcW w:type="dxa" w:w="5700"/>
          </w:tcPr>
          <w:p>
            <w:r>
              <w:rPr>
                <w:sz w:val="17"/>
                <w:szCs w:val="17"/>
              </w:rPr>
              <w:t xml:space="preserve">Cash growing ($238.9M) with positive Q2 operating cash flow and narrowing losses on strong ZORYVE sales; self-funding, no need.</w:t>
            </w:r>
          </w:p>
        </w:tc>
      </w:tr>
      <w:tr>
        <w:tc>
          <w:tcPr>
            <w:tcW w:type="dxa" w:w="900"/>
          </w:tcPr>
          <w:p>
            <w:r>
              <w:rPr>
                <w:sz w:val="18"/>
                <w:szCs w:val="18"/>
              </w:rPr>
              <w:t xml:space="preserve">Up</w:t>
            </w:r>
          </w:p>
        </w:tc>
        <w:tc>
          <w:tcPr>
            <w:tcW w:type="dxa" w:w="900"/>
          </w:tcPr>
          <w:p>
            <w:r>
              <w:rPr>
                <w:b/>
                <w:bCs/>
                <w:sz w:val="18"/>
                <w:szCs w:val="18"/>
              </w:rPr>
              <w:t xml:space="preserve">DCO</w:t>
            </w:r>
          </w:p>
        </w:tc>
        <w:tc>
          <w:tcPr>
            <w:tcW w:type="dxa" w:w="900"/>
          </w:tcPr>
          <w:p>
            <w:r>
              <w:rPr>
                <w:sz w:val="18"/>
                <w:szCs w:val="18"/>
              </w:rPr>
              <w:t xml:space="preserve">25.8</w:t>
            </w:r>
          </w:p>
        </w:tc>
        <w:tc>
          <w:tcPr>
            <w:tcW w:type="dxa" w:w="1200"/>
          </w:tcPr>
          <w:p>
            <w:r>
              <w:rPr>
                <w:b w:val="false"/>
                <w:bCs w:val="false"/>
                <w:sz w:val="18"/>
                <w:szCs w:val="18"/>
              </w:rPr>
              <w:t xml:space="preserve">Drop</w:t>
            </w:r>
          </w:p>
        </w:tc>
        <w:tc>
          <w:tcPr>
            <w:tcW w:type="dxa" w:w="5700"/>
          </w:tcPr>
          <w:p>
            <w:r>
              <w:rPr>
                <w:sz w:val="17"/>
                <w:szCs w:val="17"/>
              </w:rPr>
              <w:t xml:space="preserve">Clearly profitable (Q2 net income $20.4M) and just arranged a new $650M credit facility (debt) for M&amp;A; revealed debt preference plus profitability.</w:t>
            </w:r>
          </w:p>
        </w:tc>
      </w:tr>
      <w:tr>
        <w:tc>
          <w:tcPr>
            <w:tcW w:type="dxa" w:w="900"/>
          </w:tcPr>
          <w:p>
            <w:r>
              <w:rPr>
                <w:sz w:val="18"/>
                <w:szCs w:val="18"/>
              </w:rPr>
              <w:t xml:space="preserve">Distress</w:t>
            </w:r>
          </w:p>
        </w:tc>
        <w:tc>
          <w:tcPr>
            <w:tcW w:type="dxa" w:w="900"/>
          </w:tcPr>
          <w:p>
            <w:r>
              <w:rPr>
                <w:b/>
                <w:bCs/>
                <w:sz w:val="18"/>
                <w:szCs w:val="18"/>
              </w:rPr>
              <w:t xml:space="preserve">KRUS</w:t>
            </w:r>
          </w:p>
        </w:tc>
        <w:tc>
          <w:tcPr>
            <w:tcW w:type="dxa" w:w="900"/>
          </w:tcPr>
          <w:p>
            <w:r>
              <w:rPr>
                <w:sz w:val="18"/>
                <w:szCs w:val="18"/>
              </w:rPr>
              <w:t xml:space="preserve">68.5</w:t>
            </w:r>
          </w:p>
        </w:tc>
        <w:tc>
          <w:tcPr>
            <w:tcW w:type="dxa" w:w="1200"/>
          </w:tcPr>
          <w:p>
            <w:r>
              <w:rPr>
                <w:b w:val="false"/>
                <w:bCs w:val="false"/>
                <w:sz w:val="18"/>
                <w:szCs w:val="18"/>
              </w:rPr>
              <w:t xml:space="preserve">Drop</w:t>
            </w:r>
          </w:p>
        </w:tc>
        <w:tc>
          <w:tcPr>
            <w:tcW w:type="dxa" w:w="5700"/>
          </w:tcPr>
          <w:p>
            <w:r>
              <w:rPr>
                <w:sz w:val="17"/>
                <w:szCs w:val="17"/>
              </w:rPr>
              <w:t xml:space="preserve">Profitable (Q3 FY26 net income), zero debt, $45M undrawn revolver; ample untapped capacity, no distress.</w:t>
            </w:r>
          </w:p>
        </w:tc>
      </w:tr>
      <w:tr>
        <w:tc>
          <w:tcPr>
            <w:tcW w:type="dxa" w:w="900"/>
          </w:tcPr>
          <w:p>
            <w:r>
              <w:rPr>
                <w:sz w:val="18"/>
                <w:szCs w:val="18"/>
              </w:rPr>
              <w:t xml:space="preserve">Distress</w:t>
            </w:r>
          </w:p>
        </w:tc>
        <w:tc>
          <w:tcPr>
            <w:tcW w:type="dxa" w:w="900"/>
          </w:tcPr>
          <w:p>
            <w:r>
              <w:rPr>
                <w:b/>
                <w:bCs/>
                <w:sz w:val="18"/>
                <w:szCs w:val="18"/>
              </w:rPr>
              <w:t xml:space="preserve">EYPT</w:t>
            </w:r>
          </w:p>
        </w:tc>
        <w:tc>
          <w:tcPr>
            <w:tcW w:type="dxa" w:w="900"/>
          </w:tcPr>
          <w:p>
            <w:r>
              <w:rPr>
                <w:sz w:val="18"/>
                <w:szCs w:val="18"/>
              </w:rPr>
              <w:t xml:space="preserve">68.0</w:t>
            </w:r>
          </w:p>
        </w:tc>
        <w:tc>
          <w:tcPr>
            <w:tcW w:type="dxa" w:w="1200"/>
          </w:tcPr>
          <w:p>
            <w:r>
              <w:rPr>
                <w:b w:val="false"/>
                <w:bCs w:val="false"/>
                <w:sz w:val="18"/>
                <w:szCs w:val="18"/>
              </w:rPr>
              <w:t xml:space="preserve">Drop</w:t>
            </w:r>
          </w:p>
        </w:tc>
        <w:tc>
          <w:tcPr>
            <w:tcW w:type="dxa" w:w="5700"/>
          </w:tcPr>
          <w:p>
            <w:r>
              <w:rPr>
                <w:sz w:val="17"/>
                <w:szCs w:val="17"/>
              </w:rPr>
              <w:t xml:space="preserve">Real burn (~$43.5M/qtr) but $180.5M cash and management-guided runway to Q4 2027; no going-concern or delisting signal found.</w:t>
            </w:r>
          </w:p>
        </w:tc>
      </w:tr>
      <w:tr>
        <w:tc>
          <w:tcPr>
            <w:tcW w:type="dxa" w:w="900"/>
          </w:tcPr>
          <w:p>
            <w:r>
              <w:rPr>
                <w:sz w:val="18"/>
                <w:szCs w:val="18"/>
              </w:rPr>
              <w:t xml:space="preserve">Distress</w:t>
            </w:r>
          </w:p>
        </w:tc>
        <w:tc>
          <w:tcPr>
            <w:tcW w:type="dxa" w:w="900"/>
          </w:tcPr>
          <w:p>
            <w:r>
              <w:rPr>
                <w:b/>
                <w:bCs/>
                <w:sz w:val="18"/>
                <w:szCs w:val="18"/>
              </w:rPr>
              <w:t xml:space="preserve">PLAY</w:t>
            </w:r>
          </w:p>
        </w:tc>
        <w:tc>
          <w:tcPr>
            <w:tcW w:type="dxa" w:w="900"/>
          </w:tcPr>
          <w:p>
            <w:r>
              <w:rPr>
                <w:sz w:val="18"/>
                <w:szCs w:val="18"/>
              </w:rPr>
              <w:t xml:space="preserve">65.5</w:t>
            </w:r>
          </w:p>
        </w:tc>
        <w:tc>
          <w:tcPr>
            <w:tcW w:type="dxa" w:w="1200"/>
          </w:tcPr>
          <w:p>
            <w:r>
              <w:rPr>
                <w:b w:val="false"/>
                <w:bCs w:val="false"/>
                <w:sz w:val="18"/>
                <w:szCs w:val="18"/>
              </w:rPr>
              <w:t xml:space="preserve">Drop</w:t>
            </w:r>
          </w:p>
        </w:tc>
        <w:tc>
          <w:tcPr>
            <w:tcW w:type="dxa" w:w="5700"/>
          </w:tcPr>
          <w:p>
            <w:r>
              <w:rPr>
                <w:sz w:val="17"/>
                <w:szCs w:val="17"/>
              </w:rPr>
              <w:t xml:space="preserve">Profitable (Q1 net income $5.7M) with $499M total liquidity; the "going concern" language found is boilerplate risk-factor text, not an audit qualification.</w:t>
            </w:r>
          </w:p>
        </w:tc>
      </w:tr>
      <w:tr>
        <w:tc>
          <w:tcPr>
            <w:tcW w:type="dxa" w:w="900"/>
          </w:tcPr>
          <w:p>
            <w:r>
              <w:rPr>
                <w:sz w:val="18"/>
                <w:szCs w:val="18"/>
              </w:rPr>
              <w:t xml:space="preserve">Distress</w:t>
            </w:r>
          </w:p>
        </w:tc>
        <w:tc>
          <w:tcPr>
            <w:tcW w:type="dxa" w:w="900"/>
          </w:tcPr>
          <w:p>
            <w:r>
              <w:rPr>
                <w:b/>
                <w:bCs/>
                <w:sz w:val="18"/>
                <w:szCs w:val="18"/>
              </w:rPr>
              <w:t xml:space="preserve">BRCB</w:t>
            </w:r>
          </w:p>
        </w:tc>
        <w:tc>
          <w:tcPr>
            <w:tcW w:type="dxa" w:w="900"/>
          </w:tcPr>
          <w:p>
            <w:r>
              <w:rPr>
                <w:sz w:val="18"/>
                <w:szCs w:val="18"/>
              </w:rPr>
              <w:t xml:space="preserve">65.5</w:t>
            </w:r>
          </w:p>
        </w:tc>
        <w:tc>
          <w:tcPr>
            <w:tcW w:type="dxa" w:w="1200"/>
          </w:tcPr>
          <w:p>
            <w:r>
              <w:rPr>
                <w:b w:val="false"/>
                <w:bCs w:val="false"/>
                <w:sz w:val="18"/>
                <w:szCs w:val="18"/>
              </w:rPr>
              <w:t xml:space="preserve">Drop</w:t>
            </w:r>
          </w:p>
        </w:tc>
        <w:tc>
          <w:tcPr>
            <w:tcW w:type="dxa" w:w="5700"/>
          </w:tcPr>
          <w:p>
            <w:r>
              <w:rPr>
                <w:sz w:val="17"/>
                <w:szCs w:val="17"/>
              </w:rPr>
              <w:t xml:space="preserve">Profitable (Q2 net income $3.2M), $25M undrawn revolver, flush from a $338M Sept-2025 IPO; ample capacity.</w:t>
            </w:r>
          </w:p>
        </w:tc>
      </w:tr>
      <w:tr>
        <w:tc>
          <w:tcPr>
            <w:tcW w:type="dxa" w:w="900"/>
          </w:tcPr>
          <w:p>
            <w:r>
              <w:rPr>
                <w:sz w:val="18"/>
                <w:szCs w:val="18"/>
              </w:rPr>
              <w:t xml:space="preserve">Distress</w:t>
            </w:r>
          </w:p>
        </w:tc>
        <w:tc>
          <w:tcPr>
            <w:tcW w:type="dxa" w:w="900"/>
          </w:tcPr>
          <w:p>
            <w:r>
              <w:rPr>
                <w:b/>
                <w:bCs/>
                <w:sz w:val="18"/>
                <w:szCs w:val="18"/>
              </w:rPr>
              <w:t xml:space="preserve">BTBT</w:t>
            </w:r>
          </w:p>
        </w:tc>
        <w:tc>
          <w:tcPr>
            <w:tcW w:type="dxa" w:w="900"/>
          </w:tcPr>
          <w:p>
            <w:r>
              <w:rPr>
                <w:sz w:val="18"/>
                <w:szCs w:val="18"/>
              </w:rPr>
              <w:t xml:space="preserve">64.0</w:t>
            </w:r>
          </w:p>
        </w:tc>
        <w:tc>
          <w:tcPr>
            <w:tcW w:type="dxa" w:w="1200"/>
          </w:tcPr>
          <w:p>
            <w:r>
              <w:rPr>
                <w:b w:val="false"/>
                <w:bCs w:val="false"/>
                <w:sz w:val="18"/>
                <w:szCs w:val="18"/>
              </w:rPr>
              <w:t xml:space="preserve">Drop</w:t>
            </w:r>
          </w:p>
        </w:tc>
        <w:tc>
          <w:tcPr>
            <w:tcW w:type="dxa" w:w="5700"/>
          </w:tcPr>
          <w:p>
            <w:r>
              <w:rPr>
                <w:sz w:val="17"/>
                <w:szCs w:val="17"/>
              </w:rPr>
              <w:t xml:space="preserve">Losses are non-cash digital-asset impairments; operating cash flow positive ($46.8M H1), cash $83.6M, convertible notes not due until 2030.</w:t>
            </w:r>
          </w:p>
        </w:tc>
      </w:tr>
      <w:tr>
        <w:tc>
          <w:tcPr>
            <w:tcW w:type="dxa" w:w="900"/>
          </w:tcPr>
          <w:p>
            <w:r>
              <w:rPr>
                <w:sz w:val="18"/>
                <w:szCs w:val="18"/>
              </w:rPr>
              <w:t xml:space="preserve">Distress</w:t>
            </w:r>
          </w:p>
        </w:tc>
        <w:tc>
          <w:tcPr>
            <w:tcW w:type="dxa" w:w="900"/>
          </w:tcPr>
          <w:p>
            <w:r>
              <w:rPr>
                <w:b/>
                <w:bCs/>
                <w:sz w:val="18"/>
                <w:szCs w:val="18"/>
              </w:rPr>
              <w:t xml:space="preserve">YDES</w:t>
            </w:r>
          </w:p>
        </w:tc>
        <w:tc>
          <w:tcPr>
            <w:tcW w:type="dxa" w:w="900"/>
          </w:tcPr>
          <w:p>
            <w:r>
              <w:rPr>
                <w:sz w:val="18"/>
                <w:szCs w:val="18"/>
              </w:rPr>
              <w:t xml:space="preserve">63.5</w:t>
            </w:r>
          </w:p>
        </w:tc>
        <w:tc>
          <w:tcPr>
            <w:tcW w:type="dxa" w:w="1200"/>
          </w:tcPr>
          <w:p>
            <w:r>
              <w:rPr>
                <w:b/>
                <w:bCs/>
                <w:sz w:val="18"/>
                <w:szCs w:val="18"/>
              </w:rPr>
              <w:t xml:space="preserve">Keep</w:t>
            </w:r>
          </w:p>
        </w:tc>
        <w:tc>
          <w:tcPr>
            <w:tcW w:type="dxa" w:w="5700"/>
          </w:tcPr>
          <w:p>
            <w:r>
              <w:rPr>
                <w:sz w:val="17"/>
                <w:szCs w:val="17"/>
              </w:rPr>
              <w:t xml:space="preserve">Going-concern qualification in FY2025 20-F, only $6.0M cash against tripling opex, no debt, no in-window equity raise; genuine small-cap need. One-pager written.</w:t>
            </w:r>
          </w:p>
        </w:tc>
      </w:tr>
      <w:tr>
        <w:tc>
          <w:tcPr>
            <w:tcW w:type="dxa" w:w="900"/>
          </w:tcPr>
          <w:p>
            <w:r>
              <w:rPr>
                <w:sz w:val="18"/>
                <w:szCs w:val="18"/>
              </w:rPr>
              <w:t xml:space="preserve">Distress</w:t>
            </w:r>
          </w:p>
        </w:tc>
        <w:tc>
          <w:tcPr>
            <w:tcW w:type="dxa" w:w="900"/>
          </w:tcPr>
          <w:p>
            <w:r>
              <w:rPr>
                <w:b/>
                <w:bCs/>
                <w:sz w:val="18"/>
                <w:szCs w:val="18"/>
              </w:rPr>
              <w:t xml:space="preserve">GUTS</w:t>
            </w:r>
          </w:p>
        </w:tc>
        <w:tc>
          <w:tcPr>
            <w:tcW w:type="dxa" w:w="900"/>
          </w:tcPr>
          <w:p>
            <w:r>
              <w:rPr>
                <w:sz w:val="18"/>
                <w:szCs w:val="18"/>
              </w:rPr>
              <w:t xml:space="preserve">63.0</w:t>
            </w:r>
          </w:p>
        </w:tc>
        <w:tc>
          <w:tcPr>
            <w:tcW w:type="dxa" w:w="1200"/>
          </w:tcPr>
          <w:p>
            <w:r>
              <w:rPr>
                <w:b/>
                <w:bCs/>
                <w:sz w:val="18"/>
                <w:szCs w:val="18"/>
              </w:rPr>
              <w:t xml:space="preserve">Keep</w:t>
            </w:r>
          </w:p>
        </w:tc>
        <w:tc>
          <w:tcPr>
            <w:tcW w:type="dxa" w:w="5700"/>
          </w:tcPr>
          <w:p>
            <w:r>
              <w:rPr>
                <w:sz w:val="17"/>
                <w:szCs w:val="17"/>
              </w:rPr>
              <w:t xml:space="preserve">Explicit going-concern language in the Q2 2026 10-Q plus an imminent Nasdaq bid-price compliance deadline (Sept 9, 2026); real, dated urgency. One-pager written.</w:t>
            </w:r>
          </w:p>
        </w:tc>
      </w:tr>
      <w:tr>
        <w:tc>
          <w:tcPr>
            <w:tcW w:type="dxa" w:w="900"/>
          </w:tcPr>
          <w:p>
            <w:r>
              <w:rPr>
                <w:sz w:val="18"/>
                <w:szCs w:val="18"/>
              </w:rPr>
              <w:t xml:space="preserve">Distress</w:t>
            </w:r>
          </w:p>
        </w:tc>
        <w:tc>
          <w:tcPr>
            <w:tcW w:type="dxa" w:w="900"/>
          </w:tcPr>
          <w:p>
            <w:r>
              <w:rPr>
                <w:b/>
                <w:bCs/>
                <w:sz w:val="18"/>
                <w:szCs w:val="18"/>
              </w:rPr>
              <w:t xml:space="preserve">VITL</w:t>
            </w:r>
          </w:p>
        </w:tc>
        <w:tc>
          <w:tcPr>
            <w:tcW w:type="dxa" w:w="900"/>
          </w:tcPr>
          <w:p>
            <w:r>
              <w:rPr>
                <w:sz w:val="18"/>
                <w:szCs w:val="18"/>
              </w:rPr>
              <w:t xml:space="preserve">61.0</w:t>
            </w:r>
          </w:p>
        </w:tc>
        <w:tc>
          <w:tcPr>
            <w:tcW w:type="dxa" w:w="1200"/>
          </w:tcPr>
          <w:p>
            <w:r>
              <w:rPr>
                <w:b w:val="false"/>
                <w:bCs w:val="false"/>
                <w:sz w:val="18"/>
                <w:szCs w:val="18"/>
              </w:rPr>
              <w:t xml:space="preserve">Drop</w:t>
            </w:r>
          </w:p>
        </w:tc>
        <w:tc>
          <w:tcPr>
            <w:tcW w:type="dxa" w:w="5700"/>
          </w:tcPr>
          <w:p>
            <w:r>
              <w:rPr>
                <w:sz w:val="17"/>
                <w:szCs w:val="17"/>
              </w:rPr>
              <w:t xml:space="preserve">Just closed a fresh $185M debt facility ($125M term + $60M revolver, Aug 2026) to fund the liquidity gap; ample new debt capacity just tapped, no equity need.</w:t>
            </w:r>
          </w:p>
        </w:tc>
      </w:tr>
      <w:tr>
        <w:tc>
          <w:tcPr>
            <w:tcW w:type="dxa" w:w="900"/>
          </w:tcPr>
          <w:p>
            <w:r>
              <w:rPr>
                <w:sz w:val="18"/>
                <w:szCs w:val="18"/>
              </w:rPr>
              <w:t xml:space="preserve">Distress</w:t>
            </w:r>
          </w:p>
        </w:tc>
        <w:tc>
          <w:tcPr>
            <w:tcW w:type="dxa" w:w="900"/>
          </w:tcPr>
          <w:p>
            <w:r>
              <w:rPr>
                <w:b/>
                <w:bCs/>
                <w:sz w:val="18"/>
                <w:szCs w:val="18"/>
              </w:rPr>
              <w:t xml:space="preserve">FWRG</w:t>
            </w:r>
          </w:p>
        </w:tc>
        <w:tc>
          <w:tcPr>
            <w:tcW w:type="dxa" w:w="900"/>
          </w:tcPr>
          <w:p>
            <w:r>
              <w:rPr>
                <w:sz w:val="18"/>
                <w:szCs w:val="18"/>
              </w:rPr>
              <w:t xml:space="preserve">61.0</w:t>
            </w:r>
          </w:p>
        </w:tc>
        <w:tc>
          <w:tcPr>
            <w:tcW w:type="dxa" w:w="1200"/>
          </w:tcPr>
          <w:p>
            <w:r>
              <w:rPr>
                <w:b w:val="false"/>
                <w:bCs w:val="false"/>
                <w:sz w:val="18"/>
                <w:szCs w:val="18"/>
              </w:rPr>
              <w:t xml:space="preserve">Drop</w:t>
            </w:r>
          </w:p>
        </w:tc>
        <w:tc>
          <w:tcPr>
            <w:tcW w:type="dxa" w:w="5700"/>
          </w:tcPr>
          <w:p>
            <w:r>
              <w:rPr>
                <w:sz w:val="17"/>
                <w:szCs w:val="17"/>
              </w:rPr>
              <w:t xml:space="preserve">Profitable (Q2 net income $2.3M); management guides to positive FCF from 2027 via self-funded, organic growth.</w:t>
            </w:r>
          </w:p>
        </w:tc>
      </w:tr>
      <w:tr>
        <w:tc>
          <w:tcPr>
            <w:tcW w:type="dxa" w:w="900"/>
          </w:tcPr>
          <w:p>
            <w:r>
              <w:rPr>
                <w:sz w:val="18"/>
                <w:szCs w:val="18"/>
              </w:rPr>
              <w:t xml:space="preserve">Distress</w:t>
            </w:r>
          </w:p>
        </w:tc>
        <w:tc>
          <w:tcPr>
            <w:tcW w:type="dxa" w:w="900"/>
          </w:tcPr>
          <w:p>
            <w:r>
              <w:rPr>
                <w:b/>
                <w:bCs/>
                <w:sz w:val="18"/>
                <w:szCs w:val="18"/>
              </w:rPr>
              <w:t xml:space="preserve">KULR</w:t>
            </w:r>
          </w:p>
        </w:tc>
        <w:tc>
          <w:tcPr>
            <w:tcW w:type="dxa" w:w="900"/>
          </w:tcPr>
          <w:p>
            <w:r>
              <w:rPr>
                <w:sz w:val="18"/>
                <w:szCs w:val="18"/>
              </w:rPr>
              <w:t xml:space="preserve">59.5</w:t>
            </w:r>
          </w:p>
        </w:tc>
        <w:tc>
          <w:tcPr>
            <w:tcW w:type="dxa" w:w="1200"/>
          </w:tcPr>
          <w:p>
            <w:r>
              <w:rPr>
                <w:b w:val="false"/>
                <w:bCs w:val="false"/>
                <w:sz w:val="18"/>
                <w:szCs w:val="18"/>
              </w:rPr>
              <w:t xml:space="preserve">Drop</w:t>
            </w:r>
          </w:p>
        </w:tc>
        <w:tc>
          <w:tcPr>
            <w:tcW w:type="dxa" w:w="5700"/>
          </w:tcPr>
          <w:p>
            <w:r>
              <w:rPr>
                <w:sz w:val="17"/>
                <w:szCs w:val="17"/>
              </w:rPr>
              <w:t xml:space="preserve">Just repaid its only debt facility using bitcoin-asset sales and has explicitly paused its ATM program as a deliberate non-dilutive strategy; no going concern found.</w:t>
            </w:r>
          </w:p>
        </w:tc>
      </w:tr>
      <w:tr>
        <w:tc>
          <w:tcPr>
            <w:tcW w:type="dxa" w:w="900"/>
          </w:tcPr>
          <w:p>
            <w:r>
              <w:rPr>
                <w:sz w:val="18"/>
                <w:szCs w:val="18"/>
              </w:rPr>
              <w:t xml:space="preserve">Distress</w:t>
            </w:r>
          </w:p>
        </w:tc>
        <w:tc>
          <w:tcPr>
            <w:tcW w:type="dxa" w:w="900"/>
          </w:tcPr>
          <w:p>
            <w:r>
              <w:rPr>
                <w:b/>
                <w:bCs/>
                <w:sz w:val="18"/>
                <w:szCs w:val="18"/>
              </w:rPr>
              <w:t xml:space="preserve">EVGO</w:t>
            </w:r>
          </w:p>
        </w:tc>
        <w:tc>
          <w:tcPr>
            <w:tcW w:type="dxa" w:w="900"/>
          </w:tcPr>
          <w:p>
            <w:r>
              <w:rPr>
                <w:sz w:val="18"/>
                <w:szCs w:val="18"/>
              </w:rPr>
              <w:t xml:space="preserve">59.5</w:t>
            </w:r>
          </w:p>
        </w:tc>
        <w:tc>
          <w:tcPr>
            <w:tcW w:type="dxa" w:w="1200"/>
          </w:tcPr>
          <w:p>
            <w:r>
              <w:rPr>
                <w:b w:val="false"/>
                <w:bCs w:val="false"/>
                <w:sz w:val="18"/>
                <w:szCs w:val="18"/>
              </w:rPr>
              <w:t xml:space="preserve">Drop</w:t>
            </w:r>
          </w:p>
        </w:tc>
        <w:tc>
          <w:tcPr>
            <w:tcW w:type="dxa" w:w="5700"/>
          </w:tcPr>
          <w:p>
            <w:r>
              <w:rPr>
                <w:sz w:val="17"/>
                <w:szCs w:val="17"/>
              </w:rPr>
              <w:t xml:space="preserve">$197.7M cash plus $409M of additional DOE-guaranteed loan availability; ample untapped debt capacity.</w:t>
            </w:r>
          </w:p>
        </w:tc>
      </w:tr>
      <w:tr>
        <w:tc>
          <w:tcPr>
            <w:tcW w:type="dxa" w:w="900"/>
          </w:tcPr>
          <w:p>
            <w:r>
              <w:rPr>
                <w:sz w:val="18"/>
                <w:szCs w:val="18"/>
              </w:rPr>
              <w:t xml:space="preserve">Distress</w:t>
            </w:r>
          </w:p>
        </w:tc>
        <w:tc>
          <w:tcPr>
            <w:tcW w:type="dxa" w:w="900"/>
          </w:tcPr>
          <w:p>
            <w:r>
              <w:rPr>
                <w:b/>
                <w:bCs/>
                <w:sz w:val="18"/>
                <w:szCs w:val="18"/>
              </w:rPr>
              <w:t xml:space="preserve">NEXT</w:t>
            </w:r>
          </w:p>
        </w:tc>
        <w:tc>
          <w:tcPr>
            <w:tcW w:type="dxa" w:w="900"/>
          </w:tcPr>
          <w:p>
            <w:r>
              <w:rPr>
                <w:sz w:val="18"/>
                <w:szCs w:val="18"/>
              </w:rPr>
              <w:t xml:space="preserve">57.5</w:t>
            </w:r>
          </w:p>
        </w:tc>
        <w:tc>
          <w:tcPr>
            <w:tcW w:type="dxa" w:w="1200"/>
          </w:tcPr>
          <w:p>
            <w:r>
              <w:rPr>
                <w:b w:val="false"/>
                <w:bCs w:val="false"/>
                <w:sz w:val="18"/>
                <w:szCs w:val="18"/>
              </w:rPr>
              <w:t xml:space="preserve">Drop</w:t>
            </w:r>
          </w:p>
        </w:tc>
        <w:tc>
          <w:tcPr>
            <w:tcW w:type="dxa" w:w="5700"/>
          </w:tcPr>
          <w:p>
            <w:r>
              <w:rPr>
                <w:sz w:val="17"/>
                <w:szCs w:val="17"/>
              </w:rPr>
              <w:t xml:space="preserve">$499.6M cash, project-level financing already arranged (~$10.3B), and a shelf already filed (May 2026) for this exact purpose; no going concern.</w:t>
            </w:r>
          </w:p>
        </w:tc>
      </w:tr>
      <w:tr>
        <w:tc>
          <w:tcPr>
            <w:tcW w:type="dxa" w:w="900"/>
          </w:tcPr>
          <w:p>
            <w:r>
              <w:rPr>
                <w:sz w:val="18"/>
                <w:szCs w:val="18"/>
              </w:rPr>
              <w:t xml:space="preserve">Distress</w:t>
            </w:r>
          </w:p>
        </w:tc>
        <w:tc>
          <w:tcPr>
            <w:tcW w:type="dxa" w:w="900"/>
          </w:tcPr>
          <w:p>
            <w:r>
              <w:rPr>
                <w:b/>
                <w:bCs/>
                <w:sz w:val="18"/>
                <w:szCs w:val="18"/>
              </w:rPr>
              <w:t xml:space="preserve">GETY</w:t>
            </w:r>
          </w:p>
        </w:tc>
        <w:tc>
          <w:tcPr>
            <w:tcW w:type="dxa" w:w="900"/>
          </w:tcPr>
          <w:p>
            <w:r>
              <w:rPr>
                <w:sz w:val="18"/>
                <w:szCs w:val="18"/>
              </w:rPr>
              <w:t xml:space="preserve">57.2</w:t>
            </w:r>
          </w:p>
        </w:tc>
        <w:tc>
          <w:tcPr>
            <w:tcW w:type="dxa" w:w="1200"/>
          </w:tcPr>
          <w:p>
            <w:r>
              <w:rPr>
                <w:b/>
                <w:bCs/>
                <w:sz w:val="18"/>
                <w:szCs w:val="18"/>
              </w:rPr>
              <w:t xml:space="preserve">Keep</w:t>
            </w:r>
          </w:p>
        </w:tc>
        <w:tc>
          <w:tcPr>
            <w:tcW w:type="dxa" w:w="5700"/>
          </w:tcPr>
          <w:p>
            <w:r>
              <w:rPr>
                <w:sz w:val="17"/>
                <w:szCs w:val="17"/>
              </w:rPr>
              <w:t xml:space="preserve">Going-concern qualification in the Q2 2026 10-Q, revolver fully drawn by July 2026, Shutterstock merger (the de-leveraging path) terminated, Guggenheim now retained. One-pager written.</w:t>
            </w:r>
          </w:p>
        </w:tc>
      </w:tr>
      <w:tr>
        <w:tc>
          <w:tcPr>
            <w:tcW w:type="dxa" w:w="900"/>
          </w:tcPr>
          <w:p>
            <w:r>
              <w:rPr>
                <w:sz w:val="18"/>
                <w:szCs w:val="18"/>
              </w:rPr>
              <w:t xml:space="preserve">Distress</w:t>
            </w:r>
          </w:p>
        </w:tc>
        <w:tc>
          <w:tcPr>
            <w:tcW w:type="dxa" w:w="900"/>
          </w:tcPr>
          <w:p>
            <w:r>
              <w:rPr>
                <w:b/>
                <w:bCs/>
                <w:sz w:val="18"/>
                <w:szCs w:val="18"/>
              </w:rPr>
              <w:t xml:space="preserve">QDEL</w:t>
            </w:r>
          </w:p>
        </w:tc>
        <w:tc>
          <w:tcPr>
            <w:tcW w:type="dxa" w:w="900"/>
          </w:tcPr>
          <w:p>
            <w:r>
              <w:rPr>
                <w:sz w:val="18"/>
                <w:szCs w:val="18"/>
              </w:rPr>
              <w:t xml:space="preserve">56.8</w:t>
            </w:r>
          </w:p>
        </w:tc>
        <w:tc>
          <w:tcPr>
            <w:tcW w:type="dxa" w:w="1200"/>
          </w:tcPr>
          <w:p>
            <w:r>
              <w:rPr>
                <w:b w:val="false"/>
                <w:bCs w:val="false"/>
                <w:sz w:val="18"/>
                <w:szCs w:val="18"/>
              </w:rPr>
              <w:t xml:space="preserve">Drop</w:t>
            </w:r>
          </w:p>
        </w:tc>
        <w:tc>
          <w:tcPr>
            <w:tcW w:type="dxa" w:w="5700"/>
          </w:tcPr>
          <w:p>
            <w:r>
              <w:rPr>
                <w:sz w:val="17"/>
                <w:szCs w:val="17"/>
              </w:rPr>
              <w:t xml:space="preserve">Just completed a $100M acquisition (LEX Diagnostics, Apr 2026); adjusted-earnings profitable, no going concern found — cyclical pressure, not distress.</w:t>
            </w:r>
          </w:p>
        </w:tc>
      </w:tr>
      <w:tr>
        <w:tc>
          <w:tcPr>
            <w:tcW w:type="dxa" w:w="900"/>
          </w:tcPr>
          <w:p>
            <w:r>
              <w:rPr>
                <w:sz w:val="18"/>
                <w:szCs w:val="18"/>
              </w:rPr>
              <w:t xml:space="preserve">Distress</w:t>
            </w:r>
          </w:p>
        </w:tc>
        <w:tc>
          <w:tcPr>
            <w:tcW w:type="dxa" w:w="900"/>
          </w:tcPr>
          <w:p>
            <w:r>
              <w:rPr>
                <w:b/>
                <w:bCs/>
                <w:sz w:val="18"/>
                <w:szCs w:val="18"/>
              </w:rPr>
              <w:t xml:space="preserve">PTLO</w:t>
            </w:r>
          </w:p>
        </w:tc>
        <w:tc>
          <w:tcPr>
            <w:tcW w:type="dxa" w:w="900"/>
          </w:tcPr>
          <w:p>
            <w:r>
              <w:rPr>
                <w:sz w:val="18"/>
                <w:szCs w:val="18"/>
              </w:rPr>
              <w:t xml:space="preserve">56.5</w:t>
            </w:r>
          </w:p>
        </w:tc>
        <w:tc>
          <w:tcPr>
            <w:tcW w:type="dxa" w:w="1200"/>
          </w:tcPr>
          <w:p>
            <w:r>
              <w:rPr>
                <w:b w:val="false"/>
                <w:bCs w:val="false"/>
                <w:sz w:val="18"/>
                <w:szCs w:val="18"/>
              </w:rPr>
              <w:t xml:space="preserve">Drop</w:t>
            </w:r>
          </w:p>
        </w:tc>
        <w:tc>
          <w:tcPr>
            <w:tcW w:type="dxa" w:w="5700"/>
          </w:tcPr>
          <w:p>
            <w:r>
              <w:rPr>
                <w:sz w:val="17"/>
                <w:szCs w:val="17"/>
              </w:rPr>
              <w:t xml:space="preserve">Profitable (Q2 net income $7.2M) with revolver availability growing ($41.6M to $74.7M); untapped capacity increasing, not exhausted.</w:t>
            </w:r>
          </w:p>
        </w:tc>
      </w:tr>
      <w:tr>
        <w:tc>
          <w:tcPr>
            <w:tcW w:type="dxa" w:w="900"/>
          </w:tcPr>
          <w:p>
            <w:r>
              <w:rPr>
                <w:sz w:val="18"/>
                <w:szCs w:val="18"/>
              </w:rPr>
              <w:t xml:space="preserve">Distress</w:t>
            </w:r>
          </w:p>
        </w:tc>
        <w:tc>
          <w:tcPr>
            <w:tcW w:type="dxa" w:w="900"/>
          </w:tcPr>
          <w:p>
            <w:r>
              <w:rPr>
                <w:b/>
                <w:bCs/>
                <w:sz w:val="18"/>
                <w:szCs w:val="18"/>
              </w:rPr>
              <w:t xml:space="preserve">BRSL</w:t>
            </w:r>
          </w:p>
        </w:tc>
        <w:tc>
          <w:tcPr>
            <w:tcW w:type="dxa" w:w="900"/>
          </w:tcPr>
          <w:p>
            <w:r>
              <w:rPr>
                <w:sz w:val="18"/>
                <w:szCs w:val="18"/>
              </w:rPr>
              <w:t xml:space="preserve">55.0</w:t>
            </w:r>
          </w:p>
        </w:tc>
        <w:tc>
          <w:tcPr>
            <w:tcW w:type="dxa" w:w="1200"/>
          </w:tcPr>
          <w:p>
            <w:r>
              <w:rPr>
                <w:b w:val="false"/>
                <w:bCs w:val="false"/>
                <w:sz w:val="18"/>
                <w:szCs w:val="18"/>
              </w:rPr>
              <w:t xml:space="preserve">Drop</w:t>
            </w:r>
          </w:p>
        </w:tc>
        <w:tc>
          <w:tcPr>
            <w:tcW w:type="dxa" w:w="5700"/>
          </w:tcPr>
          <w:p>
            <w:r>
              <w:rPr>
                <w:sz w:val="17"/>
                <w:szCs w:val="17"/>
              </w:rPr>
              <w:t xml:space="preserve">Profitable and pays a maintained quarterly dividend ($0.23/share); profitability/dividend override applies directly.</w:t>
            </w:r>
          </w:p>
        </w:tc>
      </w:tr>
      <w:tr>
        <w:tc>
          <w:tcPr>
            <w:tcW w:type="dxa" w:w="900"/>
          </w:tcPr>
          <w:p>
            <w:r>
              <w:rPr>
                <w:sz w:val="18"/>
                <w:szCs w:val="18"/>
              </w:rPr>
              <w:t xml:space="preserve">Distress</w:t>
            </w:r>
          </w:p>
        </w:tc>
        <w:tc>
          <w:tcPr>
            <w:tcW w:type="dxa" w:w="900"/>
          </w:tcPr>
          <w:p>
            <w:r>
              <w:rPr>
                <w:b/>
                <w:bCs/>
                <w:sz w:val="18"/>
                <w:szCs w:val="18"/>
              </w:rPr>
              <w:t xml:space="preserve">AMTX</w:t>
            </w:r>
          </w:p>
        </w:tc>
        <w:tc>
          <w:tcPr>
            <w:tcW w:type="dxa" w:w="900"/>
          </w:tcPr>
          <w:p>
            <w:r>
              <w:rPr>
                <w:sz w:val="18"/>
                <w:szCs w:val="18"/>
              </w:rPr>
              <w:t xml:space="preserve">55.0</w:t>
            </w:r>
          </w:p>
        </w:tc>
        <w:tc>
          <w:tcPr>
            <w:tcW w:type="dxa" w:w="1200"/>
          </w:tcPr>
          <w:p>
            <w:r>
              <w:rPr>
                <w:b/>
                <w:bCs/>
                <w:sz w:val="18"/>
                <w:szCs w:val="18"/>
              </w:rPr>
              <w:t xml:space="preserve">Keep</w:t>
            </w:r>
          </w:p>
        </w:tc>
        <w:tc>
          <w:tcPr>
            <w:tcW w:type="dxa" w:w="5700"/>
          </w:tcPr>
          <w:p>
            <w:r>
              <w:rPr>
                <w:sz w:val="17"/>
                <w:szCs w:val="17"/>
              </w:rPr>
              <w:t xml:space="preserve">Explicit going-concern language across Q1 and Q2 2026 10-Qs, $3.5M cash against $354.2M of now-current debt, stockholders' deficit $322.1M. One-pager written.</w:t>
            </w:r>
          </w:p>
        </w:tc>
      </w:tr>
      <w:tr>
        <w:tc>
          <w:tcPr>
            <w:tcW w:type="dxa" w:w="900"/>
          </w:tcPr>
          <w:p>
            <w:r>
              <w:rPr>
                <w:sz w:val="18"/>
                <w:szCs w:val="18"/>
              </w:rPr>
              <w:t xml:space="preserve">Distress</w:t>
            </w:r>
          </w:p>
        </w:tc>
        <w:tc>
          <w:tcPr>
            <w:tcW w:type="dxa" w:w="900"/>
          </w:tcPr>
          <w:p>
            <w:r>
              <w:rPr>
                <w:b/>
                <w:bCs/>
                <w:sz w:val="18"/>
                <w:szCs w:val="18"/>
              </w:rPr>
              <w:t xml:space="preserve">CHPT</w:t>
            </w:r>
          </w:p>
        </w:tc>
        <w:tc>
          <w:tcPr>
            <w:tcW w:type="dxa" w:w="900"/>
          </w:tcPr>
          <w:p>
            <w:r>
              <w:rPr>
                <w:sz w:val="18"/>
                <w:szCs w:val="18"/>
              </w:rPr>
              <w:t xml:space="preserve">54.2</w:t>
            </w:r>
          </w:p>
        </w:tc>
        <w:tc>
          <w:tcPr>
            <w:tcW w:type="dxa" w:w="1200"/>
          </w:tcPr>
          <w:p>
            <w:r>
              <w:rPr>
                <w:b w:val="false"/>
                <w:bCs w:val="false"/>
                <w:sz w:val="18"/>
                <w:szCs w:val="18"/>
              </w:rPr>
              <w:t xml:space="preserve">Drop</w:t>
            </w:r>
          </w:p>
        </w:tc>
        <w:tc>
          <w:tcPr>
            <w:tcW w:type="dxa" w:w="5700"/>
          </w:tcPr>
          <w:p>
            <w:r>
              <w:rPr>
                <w:sz w:val="17"/>
                <w:szCs w:val="17"/>
              </w:rPr>
              <w:t xml:space="preserve">Already restructured its debt (Nov 2025 exchange, new $157M loan) and has $150M undrawn revolver; delisting risk already cured via 2025 reverse split.</w:t>
            </w:r>
          </w:p>
        </w:tc>
      </w:tr>
      <w:tr>
        <w:tc>
          <w:tcPr>
            <w:tcW w:type="dxa" w:w="900"/>
          </w:tcPr>
          <w:p>
            <w:r>
              <w:rPr>
                <w:sz w:val="18"/>
                <w:szCs w:val="18"/>
              </w:rPr>
              <w:t xml:space="preserve">Distress</w:t>
            </w:r>
          </w:p>
        </w:tc>
        <w:tc>
          <w:tcPr>
            <w:tcW w:type="dxa" w:w="900"/>
          </w:tcPr>
          <w:p>
            <w:r>
              <w:rPr>
                <w:b/>
                <w:bCs/>
                <w:sz w:val="18"/>
                <w:szCs w:val="18"/>
              </w:rPr>
              <w:t xml:space="preserve">ABTC</w:t>
            </w:r>
          </w:p>
        </w:tc>
        <w:tc>
          <w:tcPr>
            <w:tcW w:type="dxa" w:w="900"/>
          </w:tcPr>
          <w:p>
            <w:r>
              <w:rPr>
                <w:sz w:val="18"/>
                <w:szCs w:val="18"/>
              </w:rPr>
              <w:t xml:space="preserve">53.5</w:t>
            </w:r>
          </w:p>
        </w:tc>
        <w:tc>
          <w:tcPr>
            <w:tcW w:type="dxa" w:w="1200"/>
          </w:tcPr>
          <w:p>
            <w:r>
              <w:rPr>
                <w:b w:val="false"/>
                <w:bCs w:val="false"/>
                <w:sz w:val="18"/>
                <w:szCs w:val="18"/>
              </w:rPr>
              <w:t xml:space="preserve">Drop</w:t>
            </w:r>
          </w:p>
        </w:tc>
        <w:tc>
          <w:tcPr>
            <w:tcW w:type="dxa" w:w="5700"/>
          </w:tcPr>
          <w:p>
            <w:r>
              <w:rPr>
                <w:sz w:val="17"/>
                <w:szCs w:val="17"/>
              </w:rPr>
              <w:t xml:space="preserve">Backed by an 8,002-BTC strategic reserve providing ample non-dilutive liquidity; delisting risk already cured via a July 2026 reverse split.</w:t>
            </w:r>
          </w:p>
        </w:tc>
      </w:tr>
      <w:tr>
        <w:tc>
          <w:tcPr>
            <w:tcW w:type="dxa" w:w="900"/>
          </w:tcPr>
          <w:p>
            <w:r>
              <w:rPr>
                <w:sz w:val="18"/>
                <w:szCs w:val="18"/>
              </w:rPr>
              <w:t xml:space="preserve">Distress</w:t>
            </w:r>
          </w:p>
        </w:tc>
        <w:tc>
          <w:tcPr>
            <w:tcW w:type="dxa" w:w="900"/>
          </w:tcPr>
          <w:p>
            <w:r>
              <w:rPr>
                <w:b/>
                <w:bCs/>
                <w:sz w:val="18"/>
                <w:szCs w:val="18"/>
              </w:rPr>
              <w:t xml:space="preserve">SPRY</w:t>
            </w:r>
          </w:p>
        </w:tc>
        <w:tc>
          <w:tcPr>
            <w:tcW w:type="dxa" w:w="900"/>
          </w:tcPr>
          <w:p>
            <w:r>
              <w:rPr>
                <w:sz w:val="18"/>
                <w:szCs w:val="18"/>
              </w:rPr>
              <w:t xml:space="preserve">53.2</w:t>
            </w:r>
          </w:p>
        </w:tc>
        <w:tc>
          <w:tcPr>
            <w:tcW w:type="dxa" w:w="1200"/>
          </w:tcPr>
          <w:p>
            <w:r>
              <w:rPr>
                <w:b w:val="false"/>
                <w:bCs w:val="false"/>
                <w:sz w:val="18"/>
                <w:szCs w:val="18"/>
              </w:rPr>
              <w:t xml:space="preserve">Drop</w:t>
            </w:r>
          </w:p>
        </w:tc>
        <w:tc>
          <w:tcPr>
            <w:tcW w:type="dxa" w:w="5700"/>
          </w:tcPr>
          <w:p>
            <w:r>
              <w:rPr>
                <w:sz w:val="17"/>
                <w:szCs w:val="17"/>
              </w:rPr>
              <w:t xml:space="preserve">Tight runway, but management already announced 40%+ SG&amp;A cuts toward a mid-2027 breakeven target, and an active securities class action over the CVS Caremark formulary miss makes this a bad moment to pitch a raise.</w:t>
            </w:r>
          </w:p>
        </w:tc>
      </w:tr>
      <w:tr>
        <w:tc>
          <w:tcPr>
            <w:tcW w:type="dxa" w:w="900"/>
          </w:tcPr>
          <w:p>
            <w:r>
              <w:rPr>
                <w:sz w:val="18"/>
                <w:szCs w:val="18"/>
              </w:rPr>
              <w:t xml:space="preserve">Distress</w:t>
            </w:r>
          </w:p>
        </w:tc>
        <w:tc>
          <w:tcPr>
            <w:tcW w:type="dxa" w:w="900"/>
          </w:tcPr>
          <w:p>
            <w:r>
              <w:rPr>
                <w:b/>
                <w:bCs/>
                <w:sz w:val="18"/>
                <w:szCs w:val="18"/>
              </w:rPr>
              <w:t xml:space="preserve">JELD</w:t>
            </w:r>
          </w:p>
        </w:tc>
        <w:tc>
          <w:tcPr>
            <w:tcW w:type="dxa" w:w="900"/>
          </w:tcPr>
          <w:p>
            <w:r>
              <w:rPr>
                <w:sz w:val="18"/>
                <w:szCs w:val="18"/>
              </w:rPr>
              <w:t xml:space="preserve">52.8</w:t>
            </w:r>
          </w:p>
        </w:tc>
        <w:tc>
          <w:tcPr>
            <w:tcW w:type="dxa" w:w="1200"/>
          </w:tcPr>
          <w:p>
            <w:r>
              <w:rPr>
                <w:b/>
                <w:bCs/>
                <w:sz w:val="18"/>
                <w:szCs w:val="18"/>
              </w:rPr>
              <w:t xml:space="preserve">Keep</w:t>
            </w:r>
          </w:p>
        </w:tc>
        <w:tc>
          <w:tcPr>
            <w:tcW w:type="dxa" w:w="5700"/>
          </w:tcPr>
          <w:p>
            <w:r>
              <w:rPr>
                <w:sz w:val="17"/>
                <w:szCs w:val="17"/>
              </w:rPr>
              <w:t xml:space="preserve">~11.3x net leverage, negative H1 2026 free cash flow (-$144.8M), and a dated $400M Senior Notes maturity in December 2027; genuine, if less acute, need. One-pager written.</w:t>
            </w:r>
          </w:p>
        </w:tc>
      </w:tr>
      <w:tr>
        <w:tc>
          <w:tcPr>
            <w:tcW w:type="dxa" w:w="900"/>
          </w:tcPr>
          <w:p>
            <w:r>
              <w:rPr>
                <w:sz w:val="18"/>
                <w:szCs w:val="18"/>
              </w:rPr>
              <w:t xml:space="preserve">Distress</w:t>
            </w:r>
          </w:p>
        </w:tc>
        <w:tc>
          <w:tcPr>
            <w:tcW w:type="dxa" w:w="900"/>
          </w:tcPr>
          <w:p>
            <w:r>
              <w:rPr>
                <w:b/>
                <w:bCs/>
                <w:sz w:val="18"/>
                <w:szCs w:val="18"/>
              </w:rPr>
              <w:t xml:space="preserve">FWDI</w:t>
            </w:r>
          </w:p>
        </w:tc>
        <w:tc>
          <w:tcPr>
            <w:tcW w:type="dxa" w:w="900"/>
          </w:tcPr>
          <w:p>
            <w:r>
              <w:rPr>
                <w:sz w:val="18"/>
                <w:szCs w:val="18"/>
              </w:rPr>
              <w:t xml:space="preserve">52.8</w:t>
            </w:r>
          </w:p>
        </w:tc>
        <w:tc>
          <w:tcPr>
            <w:tcW w:type="dxa" w:w="1200"/>
          </w:tcPr>
          <w:p>
            <w:r>
              <w:rPr>
                <w:b w:val="false"/>
                <w:bCs w:val="false"/>
                <w:sz w:val="18"/>
                <w:szCs w:val="18"/>
              </w:rPr>
              <w:t xml:space="preserve">Ambiguous</w:t>
            </w:r>
          </w:p>
        </w:tc>
        <w:tc>
          <w:tcPr>
            <w:tcW w:type="dxa" w:w="5700"/>
          </w:tcPr>
          <w:p>
            <w:r>
              <w:rPr>
                <w:sz w:val="17"/>
                <w:szCs w:val="17"/>
              </w:rPr>
              <w:t xml:space="preserve">Going-concern language reportedly tied to a $50M shelf, but this is a volatile Solana-treasury pivot company with an unverified/anomalous reported quarterly loss figure ($585.7M vs. a $435M market cap); data quality too uncertain to promote to a one-pager this run.</w:t>
            </w:r>
          </w:p>
        </w:tc>
      </w:tr>
      <w:tr>
        <w:tc>
          <w:tcPr>
            <w:tcW w:type="dxa" w:w="900"/>
          </w:tcPr>
          <w:p>
            <w:r>
              <w:rPr>
                <w:sz w:val="18"/>
                <w:szCs w:val="18"/>
              </w:rPr>
              <w:t xml:space="preserve">Distress</w:t>
            </w:r>
          </w:p>
        </w:tc>
        <w:tc>
          <w:tcPr>
            <w:tcW w:type="dxa" w:w="900"/>
          </w:tcPr>
          <w:p>
            <w:r>
              <w:rPr>
                <w:b/>
                <w:bCs/>
                <w:sz w:val="18"/>
                <w:szCs w:val="18"/>
              </w:rPr>
              <w:t xml:space="preserve">DFH</w:t>
            </w:r>
          </w:p>
        </w:tc>
        <w:tc>
          <w:tcPr>
            <w:tcW w:type="dxa" w:w="900"/>
          </w:tcPr>
          <w:p>
            <w:r>
              <w:rPr>
                <w:sz w:val="18"/>
                <w:szCs w:val="18"/>
              </w:rPr>
              <w:t xml:space="preserve">52.8</w:t>
            </w:r>
          </w:p>
        </w:tc>
        <w:tc>
          <w:tcPr>
            <w:tcW w:type="dxa" w:w="1200"/>
          </w:tcPr>
          <w:p>
            <w:r>
              <w:rPr>
                <w:b w:val="false"/>
                <w:bCs w:val="false"/>
                <w:sz w:val="18"/>
                <w:szCs w:val="18"/>
              </w:rPr>
              <w:t xml:space="preserve">Drop</w:t>
            </w:r>
          </w:p>
        </w:tc>
        <w:tc>
          <w:tcPr>
            <w:tcW w:type="dxa" w:w="5700"/>
          </w:tcPr>
          <w:p>
            <w:r>
              <w:rPr>
                <w:sz w:val="17"/>
                <w:szCs w:val="17"/>
              </w:rPr>
              <w:t xml:space="preserve">$661M total liquidity and still profitable (Q1 net income $13M); no distress despite the decline.</w:t>
            </w:r>
          </w:p>
        </w:tc>
      </w:tr>
      <w:tr>
        <w:tc>
          <w:tcPr>
            <w:tcW w:type="dxa" w:w="900"/>
          </w:tcPr>
          <w:p>
            <w:r>
              <w:rPr>
                <w:sz w:val="18"/>
                <w:szCs w:val="18"/>
              </w:rPr>
              <w:t xml:space="preserve">Distress</w:t>
            </w:r>
          </w:p>
        </w:tc>
        <w:tc>
          <w:tcPr>
            <w:tcW w:type="dxa" w:w="900"/>
          </w:tcPr>
          <w:p>
            <w:r>
              <w:rPr>
                <w:b/>
                <w:bCs/>
                <w:sz w:val="18"/>
                <w:szCs w:val="18"/>
              </w:rPr>
              <w:t xml:space="preserve">TRON</w:t>
            </w:r>
          </w:p>
        </w:tc>
        <w:tc>
          <w:tcPr>
            <w:tcW w:type="dxa" w:w="900"/>
          </w:tcPr>
          <w:p>
            <w:r>
              <w:rPr>
                <w:sz w:val="18"/>
                <w:szCs w:val="18"/>
              </w:rPr>
              <w:t xml:space="preserve">51.8</w:t>
            </w:r>
          </w:p>
        </w:tc>
        <w:tc>
          <w:tcPr>
            <w:tcW w:type="dxa" w:w="1200"/>
          </w:tcPr>
          <w:p>
            <w:r>
              <w:rPr>
                <w:b w:val="false"/>
                <w:bCs w:val="false"/>
                <w:sz w:val="18"/>
                <w:szCs w:val="18"/>
              </w:rPr>
              <w:t xml:space="preserve">Drop</w:t>
            </w:r>
          </w:p>
        </w:tc>
        <w:tc>
          <w:tcPr>
            <w:tcW w:type="dxa" w:w="5700"/>
          </w:tcPr>
          <w:p>
            <w:r>
              <w:rPr>
                <w:sz w:val="17"/>
                <w:szCs w:val="17"/>
              </w:rPr>
              <w:t xml:space="preserve">Profitable via its ~$234M TRX treasury with minimal debt; treasury value provides a large non-dilutive cushion.</w:t>
            </w:r>
          </w:p>
        </w:tc>
      </w:tr>
      <w:tr>
        <w:tc>
          <w:tcPr>
            <w:tcW w:type="dxa" w:w="900"/>
          </w:tcPr>
          <w:p>
            <w:r>
              <w:rPr>
                <w:sz w:val="18"/>
                <w:szCs w:val="18"/>
              </w:rPr>
              <w:t xml:space="preserve">Distress</w:t>
            </w:r>
          </w:p>
        </w:tc>
        <w:tc>
          <w:tcPr>
            <w:tcW w:type="dxa" w:w="900"/>
          </w:tcPr>
          <w:p>
            <w:r>
              <w:rPr>
                <w:b/>
                <w:bCs/>
                <w:sz w:val="18"/>
                <w:szCs w:val="18"/>
              </w:rPr>
              <w:t xml:space="preserve">BTGO</w:t>
            </w:r>
          </w:p>
        </w:tc>
        <w:tc>
          <w:tcPr>
            <w:tcW w:type="dxa" w:w="900"/>
          </w:tcPr>
          <w:p>
            <w:r>
              <w:rPr>
                <w:sz w:val="18"/>
                <w:szCs w:val="18"/>
              </w:rPr>
              <w:t xml:space="preserve">51.2</w:t>
            </w:r>
          </w:p>
        </w:tc>
        <w:tc>
          <w:tcPr>
            <w:tcW w:type="dxa" w:w="1200"/>
          </w:tcPr>
          <w:p>
            <w:r>
              <w:rPr>
                <w:b w:val="false"/>
                <w:bCs w:val="false"/>
                <w:sz w:val="18"/>
                <w:szCs w:val="18"/>
              </w:rPr>
              <w:t xml:space="preserve">Drop</w:t>
            </w:r>
          </w:p>
        </w:tc>
        <w:tc>
          <w:tcPr>
            <w:tcW w:type="dxa" w:w="5700"/>
          </w:tcPr>
          <w:p>
            <w:r>
              <w:rPr>
                <w:sz w:val="17"/>
                <w:szCs w:val="17"/>
              </w:rPr>
              <w:t xml:space="preserve">$159M cash, zero debt, plus a $147.7M BTC treasury; well-capitalized post-IPO, no distress.</w:t>
            </w:r>
          </w:p>
        </w:tc>
      </w:tr>
      <w:tr>
        <w:tc>
          <w:tcPr>
            <w:tcW w:type="dxa" w:w="900"/>
          </w:tcPr>
          <w:p>
            <w:r>
              <w:rPr>
                <w:sz w:val="18"/>
                <w:szCs w:val="18"/>
              </w:rPr>
              <w:t xml:space="preserve">Distress</w:t>
            </w:r>
          </w:p>
        </w:tc>
        <w:tc>
          <w:tcPr>
            <w:tcW w:type="dxa" w:w="900"/>
          </w:tcPr>
          <w:p>
            <w:r>
              <w:rPr>
                <w:b/>
                <w:bCs/>
                <w:sz w:val="18"/>
                <w:szCs w:val="18"/>
              </w:rPr>
              <w:t xml:space="preserve">HDSN</w:t>
            </w:r>
          </w:p>
        </w:tc>
        <w:tc>
          <w:tcPr>
            <w:tcW w:type="dxa" w:w="900"/>
          </w:tcPr>
          <w:p>
            <w:r>
              <w:rPr>
                <w:sz w:val="18"/>
                <w:szCs w:val="18"/>
              </w:rPr>
              <w:t xml:space="preserve">50.8</w:t>
            </w:r>
          </w:p>
        </w:tc>
        <w:tc>
          <w:tcPr>
            <w:tcW w:type="dxa" w:w="1200"/>
          </w:tcPr>
          <w:p>
            <w:r>
              <w:rPr>
                <w:b w:val="false"/>
                <w:bCs w:val="false"/>
                <w:sz w:val="18"/>
                <w:szCs w:val="18"/>
              </w:rPr>
              <w:t xml:space="preserve">Drop</w:t>
            </w:r>
          </w:p>
        </w:tc>
        <w:tc>
          <w:tcPr>
            <w:tcW w:type="dxa" w:w="5700"/>
          </w:tcPr>
          <w:p>
            <w:r>
              <w:rPr>
                <w:sz w:val="17"/>
                <w:szCs w:val="17"/>
              </w:rPr>
              <w:t xml:space="preserve">Zero term debt with ~$40M undrawn on its ABL and profitable continuing operations; ample untapped capacity.</w:t>
            </w:r>
          </w:p>
        </w:tc>
      </w:tr>
      <w:tr>
        <w:tc>
          <w:tcPr>
            <w:tcW w:type="dxa" w:w="900"/>
          </w:tcPr>
          <w:p>
            <w:r>
              <w:rPr>
                <w:sz w:val="18"/>
                <w:szCs w:val="18"/>
              </w:rPr>
              <w:t xml:space="preserve">Distress</w:t>
            </w:r>
          </w:p>
        </w:tc>
        <w:tc>
          <w:tcPr>
            <w:tcW w:type="dxa" w:w="900"/>
          </w:tcPr>
          <w:p>
            <w:r>
              <w:rPr>
                <w:b/>
                <w:bCs/>
                <w:sz w:val="18"/>
                <w:szCs w:val="18"/>
              </w:rPr>
              <w:t xml:space="preserve">BZFD</w:t>
            </w:r>
          </w:p>
        </w:tc>
        <w:tc>
          <w:tcPr>
            <w:tcW w:type="dxa" w:w="900"/>
          </w:tcPr>
          <w:p>
            <w:r>
              <w:rPr>
                <w:sz w:val="18"/>
                <w:szCs w:val="18"/>
              </w:rPr>
              <w:t xml:space="preserve">50.5</w:t>
            </w:r>
          </w:p>
        </w:tc>
        <w:tc>
          <w:tcPr>
            <w:tcW w:type="dxa" w:w="1200"/>
          </w:tcPr>
          <w:p>
            <w:r>
              <w:rPr>
                <w:b w:val="false"/>
                <w:bCs w:val="false"/>
                <w:sz w:val="18"/>
                <w:szCs w:val="18"/>
              </w:rPr>
              <w:t xml:space="preserve">Drop</w:t>
            </w:r>
          </w:p>
        </w:tc>
        <w:tc>
          <w:tcPr>
            <w:tcW w:type="dxa" w:w="5700"/>
          </w:tcPr>
          <w:p>
            <w:r>
              <w:rPr>
                <w:sz w:val="17"/>
                <w:szCs w:val="17"/>
              </w:rPr>
              <w:t xml:space="preserve">A $120M strategic PIPE-like investment from Allen Family Digital closed in Q2 2026, inside the 6-month lookback, and resolved the prior going-concern flag; capital need already met.</w:t>
            </w:r>
          </w:p>
        </w:tc>
      </w:tr>
      <w:tr>
        <w:tc>
          <w:tcPr>
            <w:tcW w:type="dxa" w:w="900"/>
          </w:tcPr>
          <w:p>
            <w:r>
              <w:rPr>
                <w:sz w:val="18"/>
                <w:szCs w:val="18"/>
              </w:rPr>
              <w:t xml:space="preserve">Distress</w:t>
            </w:r>
          </w:p>
        </w:tc>
        <w:tc>
          <w:tcPr>
            <w:tcW w:type="dxa" w:w="900"/>
          </w:tcPr>
          <w:p>
            <w:r>
              <w:rPr>
                <w:b/>
                <w:bCs/>
                <w:sz w:val="18"/>
                <w:szCs w:val="18"/>
              </w:rPr>
              <w:t xml:space="preserve">RPAY</w:t>
            </w:r>
          </w:p>
        </w:tc>
        <w:tc>
          <w:tcPr>
            <w:tcW w:type="dxa" w:w="900"/>
          </w:tcPr>
          <w:p>
            <w:r>
              <w:rPr>
                <w:sz w:val="18"/>
                <w:szCs w:val="18"/>
              </w:rPr>
              <w:t xml:space="preserve">50.0</w:t>
            </w:r>
          </w:p>
        </w:tc>
        <w:tc>
          <w:tcPr>
            <w:tcW w:type="dxa" w:w="1200"/>
          </w:tcPr>
          <w:p>
            <w:r>
              <w:rPr>
                <w:b w:val="false"/>
                <w:bCs w:val="false"/>
                <w:sz w:val="18"/>
                <w:szCs w:val="18"/>
              </w:rPr>
              <w:t xml:space="preserve">Drop</w:t>
            </w:r>
          </w:p>
        </w:tc>
        <w:tc>
          <w:tcPr>
            <w:tcW w:type="dxa" w:w="5700"/>
          </w:tcPr>
          <w:p>
            <w:r>
              <w:rPr>
                <w:sz w:val="17"/>
                <w:szCs w:val="17"/>
              </w:rPr>
              <w:t xml:space="preserve">Arranged a new $500M term loan (Q1 2026) to fund the KUBRA acquisition and generates positive operating cash flow; ample debt capacity, self-funded.</w:t>
            </w:r>
          </w:p>
        </w:tc>
      </w:tr>
      <w:tr>
        <w:tc>
          <w:tcPr>
            <w:tcW w:type="dxa" w:w="900"/>
          </w:tcPr>
          <w:p>
            <w:r>
              <w:rPr>
                <w:sz w:val="18"/>
                <w:szCs w:val="18"/>
              </w:rPr>
              <w:t xml:space="preserve">Distress</w:t>
            </w:r>
          </w:p>
        </w:tc>
        <w:tc>
          <w:tcPr>
            <w:tcW w:type="dxa" w:w="900"/>
          </w:tcPr>
          <w:p>
            <w:r>
              <w:rPr>
                <w:b/>
                <w:bCs/>
                <w:sz w:val="18"/>
                <w:szCs w:val="18"/>
              </w:rPr>
              <w:t xml:space="preserve">INV</w:t>
            </w:r>
          </w:p>
        </w:tc>
        <w:tc>
          <w:tcPr>
            <w:tcW w:type="dxa" w:w="900"/>
          </w:tcPr>
          <w:p>
            <w:r>
              <w:rPr>
                <w:sz w:val="18"/>
                <w:szCs w:val="18"/>
              </w:rPr>
              <w:t xml:space="preserve">49.5</w:t>
            </w:r>
          </w:p>
        </w:tc>
        <w:tc>
          <w:tcPr>
            <w:tcW w:type="dxa" w:w="1200"/>
          </w:tcPr>
          <w:p>
            <w:r>
              <w:rPr>
                <w:b w:val="false"/>
                <w:bCs w:val="false"/>
                <w:sz w:val="18"/>
                <w:szCs w:val="18"/>
              </w:rPr>
              <w:t xml:space="preserve">Not researched</w:t>
            </w:r>
          </w:p>
        </w:tc>
        <w:tc>
          <w:tcPr>
            <w:tcW w:type="dxa" w:w="5700"/>
          </w:tcPr>
          <w:p>
            <w:r>
              <w:rPr>
                <w:sz w:val="17"/>
                <w:szCs w:val="17"/>
              </w:rPr>
              <w:t xml:space="preserve">Web search budget was exhausted before this ticker could be verified against current filings; no disposition reached this run — recommend a standalone follow-up.</w:t>
            </w:r>
          </w:p>
        </w:tc>
      </w:tr>
      <w:tr>
        <w:tc>
          <w:tcPr>
            <w:tcW w:type="dxa" w:w="900"/>
          </w:tcPr>
          <w:p>
            <w:r>
              <w:rPr>
                <w:sz w:val="18"/>
                <w:szCs w:val="18"/>
              </w:rPr>
              <w:t xml:space="preserve">Distress</w:t>
            </w:r>
          </w:p>
        </w:tc>
        <w:tc>
          <w:tcPr>
            <w:tcW w:type="dxa" w:w="900"/>
          </w:tcPr>
          <w:p>
            <w:r>
              <w:rPr>
                <w:b/>
                <w:bCs/>
                <w:sz w:val="18"/>
                <w:szCs w:val="18"/>
              </w:rPr>
              <w:t xml:space="preserve">INDP</w:t>
            </w:r>
          </w:p>
        </w:tc>
        <w:tc>
          <w:tcPr>
            <w:tcW w:type="dxa" w:w="900"/>
          </w:tcPr>
          <w:p>
            <w:r>
              <w:rPr>
                <w:sz w:val="18"/>
                <w:szCs w:val="18"/>
              </w:rPr>
              <w:t xml:space="preserve">47.5</w:t>
            </w:r>
          </w:p>
        </w:tc>
        <w:tc>
          <w:tcPr>
            <w:tcW w:type="dxa" w:w="1200"/>
          </w:tcPr>
          <w:p>
            <w:r>
              <w:rPr>
                <w:b w:val="false"/>
                <w:bCs w:val="false"/>
                <w:sz w:val="18"/>
                <w:szCs w:val="18"/>
              </w:rPr>
              <w:t xml:space="preserve">Not researched</w:t>
            </w:r>
          </w:p>
        </w:tc>
        <w:tc>
          <w:tcPr>
            <w:tcW w:type="dxa" w:w="5700"/>
          </w:tcPr>
          <w:p>
            <w:r>
              <w:rPr>
                <w:sz w:val="17"/>
                <w:szCs w:val="17"/>
              </w:rPr>
              <w:t xml:space="preserve">Web search budget was exhausted before this ticker could be verified against current filings; no disposition reached this run — recommend a standalone follow-up.</w:t>
            </w:r>
          </w:p>
        </w:tc>
      </w:tr>
      <w:tr>
        <w:tc>
          <w:tcPr>
            <w:tcW w:type="dxa" w:w="900"/>
          </w:tcPr>
          <w:p>
            <w:r>
              <w:rPr>
                <w:sz w:val="18"/>
                <w:szCs w:val="18"/>
              </w:rPr>
              <w:t xml:space="preserve">Distress</w:t>
            </w:r>
          </w:p>
        </w:tc>
        <w:tc>
          <w:tcPr>
            <w:tcW w:type="dxa" w:w="900"/>
          </w:tcPr>
          <w:p>
            <w:r>
              <w:rPr>
                <w:b/>
                <w:bCs/>
                <w:sz w:val="18"/>
                <w:szCs w:val="18"/>
              </w:rPr>
              <w:t xml:space="preserve">GEMI</w:t>
            </w:r>
          </w:p>
        </w:tc>
        <w:tc>
          <w:tcPr>
            <w:tcW w:type="dxa" w:w="900"/>
          </w:tcPr>
          <w:p>
            <w:r>
              <w:rPr>
                <w:sz w:val="18"/>
                <w:szCs w:val="18"/>
              </w:rPr>
              <w:t xml:space="preserve">46.8</w:t>
            </w:r>
          </w:p>
        </w:tc>
        <w:tc>
          <w:tcPr>
            <w:tcW w:type="dxa" w:w="1200"/>
          </w:tcPr>
          <w:p>
            <w:r>
              <w:rPr>
                <w:b w:val="false"/>
                <w:bCs w:val="false"/>
                <w:sz w:val="18"/>
                <w:szCs w:val="18"/>
              </w:rPr>
              <w:t xml:space="preserve">Drop</w:t>
            </w:r>
          </w:p>
        </w:tc>
        <w:tc>
          <w:tcPr>
            <w:tcW w:type="dxa" w:w="5700"/>
          </w:tcPr>
          <w:p>
            <w:r>
              <w:rPr>
                <w:sz w:val="17"/>
                <w:szCs w:val="17"/>
              </w:rPr>
              <w:t xml:space="preserve">Cash burning fast (&lt;1yr runway) but faces a $1.2B NYAG lawsuit plus a securities class action; existential legal/regulatory risk overshadows any financing thesis.</w:t>
            </w:r>
          </w:p>
        </w:tc>
      </w:tr>
      <w:tr>
        <w:tc>
          <w:tcPr>
            <w:tcW w:type="dxa" w:w="900"/>
          </w:tcPr>
          <w:p>
            <w:r>
              <w:rPr>
                <w:sz w:val="18"/>
                <w:szCs w:val="18"/>
              </w:rPr>
              <w:t xml:space="preserve">Distress</w:t>
            </w:r>
          </w:p>
        </w:tc>
        <w:tc>
          <w:tcPr>
            <w:tcW w:type="dxa" w:w="900"/>
          </w:tcPr>
          <w:p>
            <w:r>
              <w:rPr>
                <w:b/>
                <w:bCs/>
                <w:sz w:val="18"/>
                <w:szCs w:val="18"/>
              </w:rPr>
              <w:t xml:space="preserve">VOR</w:t>
            </w:r>
          </w:p>
        </w:tc>
        <w:tc>
          <w:tcPr>
            <w:tcW w:type="dxa" w:w="900"/>
          </w:tcPr>
          <w:p>
            <w:r>
              <w:rPr>
                <w:sz w:val="18"/>
                <w:szCs w:val="18"/>
              </w:rPr>
              <w:t xml:space="preserve">45.5</w:t>
            </w:r>
          </w:p>
        </w:tc>
        <w:tc>
          <w:tcPr>
            <w:tcW w:type="dxa" w:w="1200"/>
          </w:tcPr>
          <w:p>
            <w:r>
              <w:rPr>
                <w:b w:val="false"/>
                <w:bCs w:val="false"/>
                <w:sz w:val="18"/>
                <w:szCs w:val="18"/>
              </w:rPr>
              <w:t xml:space="preserve">Drop</w:t>
            </w:r>
          </w:p>
        </w:tc>
        <w:tc>
          <w:tcPr>
            <w:tcW w:type="dxa" w:w="5700"/>
          </w:tcPr>
          <w:p>
            <w:r>
              <w:rPr>
                <w:sz w:val="17"/>
                <w:szCs w:val="17"/>
              </w:rPr>
              <w:t xml:space="preserve">Already raised $75M+ via a private placement (Mar 2026) and $330M+ total in 2026, inside the 6-month lookback, on top of a new $4B licensing deal; capital need already addressed.</w:t>
            </w:r>
          </w:p>
        </w:tc>
      </w:tr>
      <w:tr>
        <w:tc>
          <w:tcPr>
            <w:tcW w:type="dxa" w:w="900"/>
          </w:tcPr>
          <w:p>
            <w:r>
              <w:rPr>
                <w:sz w:val="18"/>
                <w:szCs w:val="18"/>
              </w:rPr>
              <w:t xml:space="preserve">Distress</w:t>
            </w:r>
          </w:p>
        </w:tc>
        <w:tc>
          <w:tcPr>
            <w:tcW w:type="dxa" w:w="900"/>
          </w:tcPr>
          <w:p>
            <w:r>
              <w:rPr>
                <w:b/>
                <w:bCs/>
                <w:sz w:val="18"/>
                <w:szCs w:val="18"/>
              </w:rPr>
              <w:t xml:space="preserve">RZLT</w:t>
            </w:r>
          </w:p>
        </w:tc>
        <w:tc>
          <w:tcPr>
            <w:tcW w:type="dxa" w:w="900"/>
          </w:tcPr>
          <w:p>
            <w:r>
              <w:rPr>
                <w:sz w:val="18"/>
                <w:szCs w:val="18"/>
              </w:rPr>
              <w:t xml:space="preserve">45.5</w:t>
            </w:r>
          </w:p>
        </w:tc>
        <w:tc>
          <w:tcPr>
            <w:tcW w:type="dxa" w:w="1200"/>
          </w:tcPr>
          <w:p>
            <w:r>
              <w:rPr>
                <w:b w:val="false"/>
                <w:bCs w:val="false"/>
                <w:sz w:val="18"/>
                <w:szCs w:val="18"/>
              </w:rPr>
              <w:t xml:space="preserve">Drop</w:t>
            </w:r>
          </w:p>
        </w:tc>
        <w:tc>
          <w:tcPr>
            <w:tcW w:type="dxa" w:w="5700"/>
          </w:tcPr>
          <w:p>
            <w:r>
              <w:rPr>
                <w:sz w:val="17"/>
                <w:szCs w:val="17"/>
              </w:rPr>
              <w:t xml:space="preserve">$120M of liquid assets against ~$13.7M/quarter burn (8+ quarters of runway); no debt, no going concern — not distressed despite the decline.</w:t>
            </w:r>
          </w:p>
        </w:tc>
      </w:tr>
      <w:tr>
        <w:tc>
          <w:tcPr>
            <w:tcW w:type="dxa" w:w="900"/>
          </w:tcPr>
          <w:p>
            <w:r>
              <w:rPr>
                <w:sz w:val="18"/>
                <w:szCs w:val="18"/>
              </w:rPr>
              <w:t xml:space="preserve">Distress</w:t>
            </w:r>
          </w:p>
        </w:tc>
        <w:tc>
          <w:tcPr>
            <w:tcW w:type="dxa" w:w="900"/>
          </w:tcPr>
          <w:p>
            <w:r>
              <w:rPr>
                <w:b/>
                <w:bCs/>
                <w:sz w:val="18"/>
                <w:szCs w:val="18"/>
              </w:rPr>
              <w:t xml:space="preserve">CMPX</w:t>
            </w:r>
          </w:p>
        </w:tc>
        <w:tc>
          <w:tcPr>
            <w:tcW w:type="dxa" w:w="900"/>
          </w:tcPr>
          <w:p>
            <w:r>
              <w:rPr>
                <w:sz w:val="18"/>
                <w:szCs w:val="18"/>
              </w:rPr>
              <w:t xml:space="preserve">45.5</w:t>
            </w:r>
          </w:p>
        </w:tc>
        <w:tc>
          <w:tcPr>
            <w:tcW w:type="dxa" w:w="1200"/>
          </w:tcPr>
          <w:p>
            <w:r>
              <w:rPr>
                <w:b w:val="false"/>
                <w:bCs w:val="false"/>
                <w:sz w:val="18"/>
                <w:szCs w:val="18"/>
              </w:rPr>
              <w:t xml:space="preserve">Drop</w:t>
            </w:r>
          </w:p>
        </w:tc>
        <w:tc>
          <w:tcPr>
            <w:tcW w:type="dxa" w:w="5700"/>
          </w:tcPr>
          <w:p>
            <w:r>
              <w:rPr>
                <w:sz w:val="17"/>
                <w:szCs w:val="17"/>
              </w:rPr>
              <w:t xml:space="preserve">Going-concern language is real, but the lead program (tovecimig) missed its Phase 3 survival endpoint in Apr 2026 (stock -66% in a day); pipeline credibility too damaged to pitch a raise now.</w:t>
            </w:r>
          </w:p>
        </w:tc>
      </w:tr>
      <w:tr>
        <w:tc>
          <w:tcPr>
            <w:tcW w:type="dxa" w:w="900"/>
          </w:tcPr>
          <w:p>
            <w:r>
              <w:rPr>
                <w:sz w:val="18"/>
                <w:szCs w:val="18"/>
              </w:rPr>
              <w:t xml:space="preserve">Distress</w:t>
            </w:r>
          </w:p>
        </w:tc>
        <w:tc>
          <w:tcPr>
            <w:tcW w:type="dxa" w:w="900"/>
          </w:tcPr>
          <w:p>
            <w:r>
              <w:rPr>
                <w:b/>
                <w:bCs/>
                <w:sz w:val="18"/>
                <w:szCs w:val="18"/>
              </w:rPr>
              <w:t xml:space="preserve">XGN</w:t>
            </w:r>
          </w:p>
        </w:tc>
        <w:tc>
          <w:tcPr>
            <w:tcW w:type="dxa" w:w="900"/>
          </w:tcPr>
          <w:p>
            <w:r>
              <w:rPr>
                <w:sz w:val="18"/>
                <w:szCs w:val="18"/>
              </w:rPr>
              <w:t xml:space="preserve">45.2</w:t>
            </w:r>
          </w:p>
        </w:tc>
        <w:tc>
          <w:tcPr>
            <w:tcW w:type="dxa" w:w="1200"/>
          </w:tcPr>
          <w:p>
            <w:r>
              <w:rPr>
                <w:b w:val="false"/>
                <w:bCs w:val="false"/>
                <w:sz w:val="18"/>
                <w:szCs w:val="18"/>
              </w:rPr>
              <w:t xml:space="preserve">Drop</w:t>
            </w:r>
          </w:p>
        </w:tc>
        <w:tc>
          <w:tcPr>
            <w:tcW w:type="dxa" w:w="5700"/>
          </w:tcPr>
          <w:p>
            <w:r>
              <w:rPr>
                <w:sz w:val="17"/>
                <w:szCs w:val="17"/>
              </w:rPr>
              <w:t xml:space="preserve">Only $25M of a $75M term-loan facility drawn, leaving $50M undrawn; ample untapped debt capacity, management says funds adequate 12+ months.</w:t>
            </w:r>
          </w:p>
        </w:tc>
      </w:tr>
      <w:tr>
        <w:tc>
          <w:tcPr>
            <w:tcW w:type="dxa" w:w="900"/>
          </w:tcPr>
          <w:p>
            <w:r>
              <w:rPr>
                <w:sz w:val="18"/>
                <w:szCs w:val="18"/>
              </w:rPr>
              <w:t xml:space="preserve">Distress</w:t>
            </w:r>
          </w:p>
        </w:tc>
        <w:tc>
          <w:tcPr>
            <w:tcW w:type="dxa" w:w="900"/>
          </w:tcPr>
          <w:p>
            <w:r>
              <w:rPr>
                <w:b/>
                <w:bCs/>
                <w:sz w:val="18"/>
                <w:szCs w:val="18"/>
              </w:rPr>
              <w:t xml:space="preserve">ONEW</w:t>
            </w:r>
          </w:p>
        </w:tc>
        <w:tc>
          <w:tcPr>
            <w:tcW w:type="dxa" w:w="900"/>
          </w:tcPr>
          <w:p>
            <w:r>
              <w:rPr>
                <w:sz w:val="18"/>
                <w:szCs w:val="18"/>
              </w:rPr>
              <w:t xml:space="preserve">45.2</w:t>
            </w:r>
          </w:p>
        </w:tc>
        <w:tc>
          <w:tcPr>
            <w:tcW w:type="dxa" w:w="1200"/>
          </w:tcPr>
          <w:p>
            <w:r>
              <w:rPr>
                <w:b w:val="false"/>
                <w:bCs w:val="false"/>
                <w:sz w:val="18"/>
                <w:szCs w:val="18"/>
              </w:rPr>
              <w:t xml:space="preserve">Drop</w:t>
            </w:r>
          </w:p>
        </w:tc>
        <w:tc>
          <w:tcPr>
            <w:tcW w:type="dxa" w:w="5700"/>
          </w:tcPr>
          <w:p>
            <w:r>
              <w:rPr>
                <w:sz w:val="17"/>
                <w:szCs w:val="17"/>
              </w:rPr>
              <w:t xml:space="preserve">Actively deleveraging via a non-equity asset sale (Ocean Bio-Chem, Feb 2026), with leverage improving from 5.8x to 3.7x; revealed asset-sale preference.</w:t>
            </w:r>
          </w:p>
        </w:tc>
      </w:tr>
      <w:tr>
        <w:tc>
          <w:tcPr>
            <w:tcW w:type="dxa" w:w="900"/>
          </w:tcPr>
          <w:p>
            <w:r>
              <w:rPr>
                <w:sz w:val="18"/>
                <w:szCs w:val="18"/>
              </w:rPr>
              <w:t xml:space="preserve">Distress</w:t>
            </w:r>
          </w:p>
        </w:tc>
        <w:tc>
          <w:tcPr>
            <w:tcW w:type="dxa" w:w="900"/>
          </w:tcPr>
          <w:p>
            <w:r>
              <w:rPr>
                <w:b/>
                <w:bCs/>
                <w:sz w:val="18"/>
                <w:szCs w:val="18"/>
              </w:rPr>
              <w:t xml:space="preserve">HPP</w:t>
            </w:r>
          </w:p>
        </w:tc>
        <w:tc>
          <w:tcPr>
            <w:tcW w:type="dxa" w:w="900"/>
          </w:tcPr>
          <w:p>
            <w:r>
              <w:rPr>
                <w:sz w:val="18"/>
                <w:szCs w:val="18"/>
              </w:rPr>
              <w:t xml:space="preserve">45.2</w:t>
            </w:r>
          </w:p>
        </w:tc>
        <w:tc>
          <w:tcPr>
            <w:tcW w:type="dxa" w:w="1200"/>
          </w:tcPr>
          <w:p>
            <w:r>
              <w:rPr>
                <w:b w:val="false"/>
                <w:bCs w:val="false"/>
                <w:sz w:val="18"/>
                <w:szCs w:val="18"/>
              </w:rPr>
              <w:t xml:space="preserve">Drop</w:t>
            </w:r>
          </w:p>
        </w:tc>
        <w:tc>
          <w:tcPr>
            <w:tcW w:type="dxa" w:w="5700"/>
          </w:tcPr>
          <w:p>
            <w:r>
              <w:rPr>
                <w:sz w:val="17"/>
                <w:szCs w:val="17"/>
              </w:rPr>
              <w:t xml:space="preserve">$933.3M total liquidity with $795.3M undrawn on its revolver; a REIT with hugely ample untapped debt capacity.</w:t>
            </w:r>
          </w:p>
        </w:tc>
      </w:tr>
      <w:tr>
        <w:tc>
          <w:tcPr>
            <w:tcW w:type="dxa" w:w="900"/>
          </w:tcPr>
          <w:p>
            <w:r>
              <w:rPr>
                <w:sz w:val="18"/>
                <w:szCs w:val="18"/>
              </w:rPr>
              <w:t xml:space="preserve">Distress</w:t>
            </w:r>
          </w:p>
        </w:tc>
        <w:tc>
          <w:tcPr>
            <w:tcW w:type="dxa" w:w="900"/>
          </w:tcPr>
          <w:p>
            <w:r>
              <w:rPr>
                <w:b/>
                <w:bCs/>
                <w:sz w:val="18"/>
                <w:szCs w:val="18"/>
              </w:rPr>
              <w:t xml:space="preserve">INSE</w:t>
            </w:r>
          </w:p>
        </w:tc>
        <w:tc>
          <w:tcPr>
            <w:tcW w:type="dxa" w:w="900"/>
          </w:tcPr>
          <w:p>
            <w:r>
              <w:rPr>
                <w:sz w:val="18"/>
                <w:szCs w:val="18"/>
              </w:rPr>
              <w:t xml:space="preserve">44.5</w:t>
            </w:r>
          </w:p>
        </w:tc>
        <w:tc>
          <w:tcPr>
            <w:tcW w:type="dxa" w:w="1200"/>
          </w:tcPr>
          <w:p>
            <w:r>
              <w:rPr>
                <w:b w:val="false"/>
                <w:bCs w:val="false"/>
                <w:sz w:val="18"/>
                <w:szCs w:val="18"/>
              </w:rPr>
              <w:t xml:space="preserve">Drop</w:t>
            </w:r>
          </w:p>
        </w:tc>
        <w:tc>
          <w:tcPr>
            <w:tcW w:type="dxa" w:w="5700"/>
          </w:tcPr>
          <w:p>
            <w:r>
              <w:rPr>
                <w:sz w:val="17"/>
                <w:szCs w:val="17"/>
              </w:rPr>
              <w:t xml:space="preserve">Deleveraging via asset divestiture and buying back its own shares; a buyback is the direct opposite of a capital-need signal.</w:t>
            </w:r>
          </w:p>
        </w:tc>
      </w:tr>
      <w:tr>
        <w:tc>
          <w:tcPr>
            <w:tcW w:type="dxa" w:w="900"/>
          </w:tcPr>
          <w:p>
            <w:r>
              <w:rPr>
                <w:sz w:val="18"/>
                <w:szCs w:val="18"/>
              </w:rPr>
              <w:t xml:space="preserve">Distress</w:t>
            </w:r>
          </w:p>
        </w:tc>
        <w:tc>
          <w:tcPr>
            <w:tcW w:type="dxa" w:w="900"/>
          </w:tcPr>
          <w:p>
            <w:r>
              <w:rPr>
                <w:b/>
                <w:bCs/>
                <w:sz w:val="18"/>
                <w:szCs w:val="18"/>
              </w:rPr>
              <w:t xml:space="preserve">ADMA</w:t>
            </w:r>
          </w:p>
        </w:tc>
        <w:tc>
          <w:tcPr>
            <w:tcW w:type="dxa" w:w="900"/>
          </w:tcPr>
          <w:p>
            <w:r>
              <w:rPr>
                <w:sz w:val="18"/>
                <w:szCs w:val="18"/>
              </w:rPr>
              <w:t xml:space="preserve">44.2</w:t>
            </w:r>
          </w:p>
        </w:tc>
        <w:tc>
          <w:tcPr>
            <w:tcW w:type="dxa" w:w="1200"/>
          </w:tcPr>
          <w:p>
            <w:r>
              <w:rPr>
                <w:b w:val="false"/>
                <w:bCs w:val="false"/>
                <w:sz w:val="18"/>
                <w:szCs w:val="18"/>
              </w:rPr>
              <w:t xml:space="preserve">Drop</w:t>
            </w:r>
          </w:p>
        </w:tc>
        <w:tc>
          <w:tcPr>
            <w:tcW w:type="dxa" w:w="5700"/>
          </w:tcPr>
          <w:p>
            <w:r>
              <w:rPr>
                <w:sz w:val="17"/>
                <w:szCs w:val="17"/>
              </w:rPr>
              <w:t xml:space="preserve">Clearly profitable (H1 2026 operating income $110.7M) and covenant-compliant; profitability override applies despite the price decline.</w:t>
            </w:r>
          </w:p>
        </w:tc>
      </w:tr>
      <w:tr>
        <w:tc>
          <w:tcPr>
            <w:tcW w:type="dxa" w:w="900"/>
          </w:tcPr>
          <w:p>
            <w:r>
              <w:rPr>
                <w:sz w:val="18"/>
                <w:szCs w:val="18"/>
              </w:rPr>
              <w:t xml:space="preserve">Distress</w:t>
            </w:r>
          </w:p>
        </w:tc>
        <w:tc>
          <w:tcPr>
            <w:tcW w:type="dxa" w:w="900"/>
          </w:tcPr>
          <w:p>
            <w:r>
              <w:rPr>
                <w:b/>
                <w:bCs/>
                <w:sz w:val="18"/>
                <w:szCs w:val="18"/>
              </w:rPr>
              <w:t xml:space="preserve">LFCR</w:t>
            </w:r>
          </w:p>
        </w:tc>
        <w:tc>
          <w:tcPr>
            <w:tcW w:type="dxa" w:w="900"/>
          </w:tcPr>
          <w:p>
            <w:r>
              <w:rPr>
                <w:sz w:val="18"/>
                <w:szCs w:val="18"/>
              </w:rPr>
              <w:t xml:space="preserve">43.0</w:t>
            </w:r>
          </w:p>
        </w:tc>
        <w:tc>
          <w:tcPr>
            <w:tcW w:type="dxa" w:w="1200"/>
          </w:tcPr>
          <w:p>
            <w:r>
              <w:rPr>
                <w:b w:val="false"/>
                <w:bCs w:val="false"/>
                <w:sz w:val="18"/>
                <w:szCs w:val="18"/>
              </w:rPr>
              <w:t xml:space="preserve">Drop</w:t>
            </w:r>
          </w:p>
        </w:tc>
        <w:tc>
          <w:tcPr>
            <w:tcW w:type="dxa" w:w="5700"/>
          </w:tcPr>
          <w:p>
            <w:r>
              <w:rPr>
                <w:sz w:val="17"/>
                <w:szCs w:val="17"/>
              </w:rPr>
              <w:t xml:space="preserve">Heavy related-party debt load relative to thin liquidity, but $21.6M of revolver headroom remains and no going-concern language was found; not confirmed distressed enough to promote.</w:t>
            </w:r>
          </w:p>
        </w:tc>
      </w:tr>
    </w:tbl>
    <w:p>
      <w:pPr>
        <w:pStyle w:val="Heading1"/>
      </w:pPr>
      <w:r>
        <w:t>Full Disposition — Batch 3 (6:30AM ET 8/31): remaining distress names + INV/INDP carried over from batch 1</w:t>
      </w:r>
    </w:p>
    <w:p>
      <w:r>
        <w:rPr>
          <w:color w:val="444444"/>
          <w:sz w:val="21"/>
        </w:rPr>
        <w:t>This batch was assigned 56 distress-screen names (ranked roughly #91-147 by capital_need_score) plus INV and INDP, carried over from Batch 1 after Batch 1's session web-search budget ran out before reaching them. This run's own session web-search budget was exhausted after researching 40 of these 58 names (WGS through GTM below); the remaining 18 (including INV and INDP again) could not be verified against current filings and are flagged "Not researched" below rather than given a guessed disposition -- recommend a standalone follow-up for those 18, in addition to the Batch 2 gap noted above.</w:t>
      </w:r>
    </w:p>
    <w:tbl>
      <w:tblPr>
        <w:tblW w:type="auto" w:w="0"/>
        <w:tblLook w:firstColumn="1" w:firstRow="1" w:lastColumn="0" w:lastRow="0" w:noHBand="0" w:noVBand="1" w:val="04A0"/>
      </w:tblPr>
      <w:tblGrid>
        <w:gridCol w:w="2016"/>
        <w:gridCol w:w="2016"/>
        <w:gridCol w:w="2016"/>
        <w:gridCol w:w="2016"/>
        <w:gridCol w:w="2016"/>
      </w:tblGrid>
      <w:tr>
        <w:tc>
          <w:tcPr>
            <w:tcW w:type="dxa" w:w="900"/>
          </w:tcPr>
          <w:p>
            <w:r>
              <w:rPr>
                <w:b/>
                <w:sz w:val="18"/>
              </w:rPr>
              <w:t>Screen</w:t>
            </w:r>
          </w:p>
        </w:tc>
        <w:tc>
          <w:tcPr>
            <w:tcW w:type="dxa" w:w="900"/>
          </w:tcPr>
          <w:p>
            <w:r>
              <w:rPr>
                <w:b/>
                <w:sz w:val="18"/>
              </w:rPr>
              <w:t>Ticker</w:t>
            </w:r>
          </w:p>
        </w:tc>
        <w:tc>
          <w:tcPr>
            <w:tcW w:type="dxa" w:w="900"/>
          </w:tcPr>
          <w:p>
            <w:r>
              <w:rPr>
                <w:b/>
                <w:sz w:val="18"/>
              </w:rPr>
              <w:t>Score</w:t>
            </w:r>
          </w:p>
        </w:tc>
        <w:tc>
          <w:tcPr>
            <w:tcW w:type="dxa" w:w="1200"/>
          </w:tcPr>
          <w:p>
            <w:r>
              <w:rPr>
                <w:b/>
                <w:sz w:val="18"/>
              </w:rPr>
              <w:t>Disposition</w:t>
            </w:r>
          </w:p>
        </w:tc>
        <w:tc>
          <w:tcPr>
            <w:tcW w:type="dxa" w:w="5700"/>
          </w:tcPr>
          <w:p>
            <w:r>
              <w:rPr>
                <w:b/>
                <w:sz w:val="18"/>
              </w:rPr>
              <w:t>Reason</w:t>
            </w:r>
          </w:p>
        </w:tc>
      </w:tr>
      <w:tr>
        <w:tc>
          <w:tcPr>
            <w:tcW w:type="dxa" w:w="900"/>
          </w:tcPr>
          <w:p>
            <w:r>
              <w:rPr>
                <w:sz w:val="18"/>
              </w:rPr>
              <w:t>Distress</w:t>
            </w:r>
          </w:p>
        </w:tc>
        <w:tc>
          <w:tcPr>
            <w:tcW w:type="dxa" w:w="900"/>
          </w:tcPr>
          <w:p>
            <w:r>
              <w:rPr>
                <w:b/>
                <w:sz w:val="18"/>
              </w:rPr>
              <w:t>WGS</w:t>
            </w:r>
          </w:p>
        </w:tc>
        <w:tc>
          <w:tcPr>
            <w:tcW w:type="dxa" w:w="900"/>
          </w:tcPr>
          <w:p>
            <w:r>
              <w:rPr>
                <w:sz w:val="18"/>
              </w:rPr>
              <w:t>30.2</w:t>
            </w:r>
          </w:p>
        </w:tc>
        <w:tc>
          <w:tcPr>
            <w:tcW w:type="dxa" w:w="1200"/>
          </w:tcPr>
          <w:p>
            <w:r>
              <w:rPr>
                <w:sz w:val="18"/>
              </w:rPr>
              <w:t>Drop</w:t>
            </w:r>
          </w:p>
        </w:tc>
        <w:tc>
          <w:tcPr>
            <w:tcW w:type="dxa" w:w="5700"/>
          </w:tcPr>
          <w:p>
            <w:r>
              <w:rPr>
                <w:sz w:val="18"/>
              </w:rPr>
              <w:t>A $5M private placement plus a $50M term-loan facility expansion from a Blackstone affiliate closed August 2026, inside the 6-month lookback; capital need already being addressed via a non-public raise.</w:t>
            </w:r>
          </w:p>
        </w:tc>
      </w:tr>
      <w:tr>
        <w:tc>
          <w:tcPr>
            <w:tcW w:type="dxa" w:w="900"/>
          </w:tcPr>
          <w:p>
            <w:r>
              <w:rPr>
                <w:sz w:val="18"/>
              </w:rPr>
              <w:t>Distress</w:t>
            </w:r>
          </w:p>
        </w:tc>
        <w:tc>
          <w:tcPr>
            <w:tcW w:type="dxa" w:w="900"/>
          </w:tcPr>
          <w:p>
            <w:r>
              <w:rPr>
                <w:b/>
                <w:sz w:val="18"/>
              </w:rPr>
              <w:t>UWMC</w:t>
            </w:r>
          </w:p>
        </w:tc>
        <w:tc>
          <w:tcPr>
            <w:tcW w:type="dxa" w:w="900"/>
          </w:tcPr>
          <w:p>
            <w:r>
              <w:rPr>
                <w:sz w:val="18"/>
              </w:rPr>
              <w:t>30.2</w:t>
            </w:r>
          </w:p>
        </w:tc>
        <w:tc>
          <w:tcPr>
            <w:tcW w:type="dxa" w:w="1200"/>
          </w:tcPr>
          <w:p>
            <w:r>
              <w:rPr>
                <w:sz w:val="18"/>
              </w:rPr>
              <w:t>Drop</w:t>
            </w:r>
          </w:p>
        </w:tc>
        <w:tc>
          <w:tcPr>
            <w:tcW w:type="dxa" w:w="5700"/>
          </w:tcPr>
          <w:p>
            <w:r>
              <w:rPr>
                <w:sz w:val="18"/>
              </w:rPr>
              <w:t>Closed a $2.05B capital-restructuring investment (Oaktree/Ishbia SFS Group, preferred stock + warrants, Aug 5 2026) and already has a $400M+ rights offering scheduled Oct-Nov 2026; capital need already being addressed.</w:t>
            </w:r>
          </w:p>
        </w:tc>
      </w:tr>
      <w:tr>
        <w:tc>
          <w:tcPr>
            <w:tcW w:type="dxa" w:w="900"/>
          </w:tcPr>
          <w:p>
            <w:r>
              <w:rPr>
                <w:sz w:val="18"/>
              </w:rPr>
              <w:t>Distress</w:t>
            </w:r>
          </w:p>
        </w:tc>
        <w:tc>
          <w:tcPr>
            <w:tcW w:type="dxa" w:w="900"/>
          </w:tcPr>
          <w:p>
            <w:r>
              <w:rPr>
                <w:b/>
                <w:sz w:val="18"/>
              </w:rPr>
              <w:t>UPST</w:t>
            </w:r>
          </w:p>
        </w:tc>
        <w:tc>
          <w:tcPr>
            <w:tcW w:type="dxa" w:w="900"/>
          </w:tcPr>
          <w:p>
            <w:r>
              <w:rPr>
                <w:sz w:val="18"/>
              </w:rPr>
              <w:t>30.2</w:t>
            </w:r>
          </w:p>
        </w:tc>
        <w:tc>
          <w:tcPr>
            <w:tcW w:type="dxa" w:w="1200"/>
          </w:tcPr>
          <w:p>
            <w:r>
              <w:rPr>
                <w:sz w:val="18"/>
              </w:rPr>
              <w:t>Drop</w:t>
            </w:r>
          </w:p>
        </w:tc>
        <w:tc>
          <w:tcPr>
            <w:tcW w:type="dxa" w:w="5700"/>
          </w:tcPr>
          <w:p>
            <w:r>
              <w:rPr>
                <w:sz w:val="18"/>
              </w:rPr>
              <w:t>Returned to GAAP profitability (Q2 net income $17M) with $982.3M cash; explicitly funding growth without adding equity capital and repurchasing convertible notes.</w:t>
            </w:r>
          </w:p>
        </w:tc>
      </w:tr>
      <w:tr>
        <w:tc>
          <w:tcPr>
            <w:tcW w:type="dxa" w:w="900"/>
          </w:tcPr>
          <w:p>
            <w:r>
              <w:rPr>
                <w:sz w:val="18"/>
              </w:rPr>
              <w:t>Distress</w:t>
            </w:r>
          </w:p>
        </w:tc>
        <w:tc>
          <w:tcPr>
            <w:tcW w:type="dxa" w:w="900"/>
          </w:tcPr>
          <w:p>
            <w:r>
              <w:rPr>
                <w:b/>
                <w:sz w:val="18"/>
              </w:rPr>
              <w:t>SGRY</w:t>
            </w:r>
          </w:p>
        </w:tc>
        <w:tc>
          <w:tcPr>
            <w:tcW w:type="dxa" w:w="900"/>
          </w:tcPr>
          <w:p>
            <w:r>
              <w:rPr>
                <w:sz w:val="18"/>
              </w:rPr>
              <w:t>30.2</w:t>
            </w:r>
          </w:p>
        </w:tc>
        <w:tc>
          <w:tcPr>
            <w:tcW w:type="dxa" w:w="1200"/>
          </w:tcPr>
          <w:p>
            <w:r>
              <w:rPr>
                <w:sz w:val="18"/>
              </w:rPr>
              <w:t>Drop</w:t>
            </w:r>
          </w:p>
        </w:tc>
        <w:tc>
          <w:tcPr>
            <w:tcW w:type="dxa" w:w="5700"/>
          </w:tcPr>
          <w:p>
            <w:r>
              <w:rPr>
                <w:sz w:val="18"/>
              </w:rPr>
              <w:t>$216.7M cash plus $617.8M undrawn on its revolver; ample untapped debt capacity despite elevated 4.4x leverage, no going concern found.</w:t>
            </w:r>
          </w:p>
        </w:tc>
      </w:tr>
      <w:tr>
        <w:tc>
          <w:tcPr>
            <w:tcW w:type="dxa" w:w="900"/>
          </w:tcPr>
          <w:p>
            <w:r>
              <w:rPr>
                <w:sz w:val="18"/>
              </w:rPr>
              <w:t>Distress</w:t>
            </w:r>
          </w:p>
        </w:tc>
        <w:tc>
          <w:tcPr>
            <w:tcW w:type="dxa" w:w="900"/>
          </w:tcPr>
          <w:p>
            <w:r>
              <w:rPr>
                <w:b/>
                <w:sz w:val="18"/>
              </w:rPr>
              <w:t>ROCK</w:t>
            </w:r>
          </w:p>
        </w:tc>
        <w:tc>
          <w:tcPr>
            <w:tcW w:type="dxa" w:w="900"/>
          </w:tcPr>
          <w:p>
            <w:r>
              <w:rPr>
                <w:sz w:val="18"/>
              </w:rPr>
              <w:t>30.2</w:t>
            </w:r>
          </w:p>
        </w:tc>
        <w:tc>
          <w:tcPr>
            <w:tcW w:type="dxa" w:w="1200"/>
          </w:tcPr>
          <w:p>
            <w:r>
              <w:rPr>
                <w:sz w:val="18"/>
              </w:rPr>
              <w:t>Drop</w:t>
            </w:r>
          </w:p>
        </w:tc>
        <w:tc>
          <w:tcPr>
            <w:tcW w:type="dxa" w:w="5700"/>
          </w:tcPr>
          <w:p>
            <w:r>
              <w:rPr>
                <w:sz w:val="18"/>
              </w:rPr>
              <w:t>$470.3M undrawn on a $500M revolver; Q2 net income was positive ($8.19M) and the H1 net loss was driven by a one-time $243M renewables impairment, not operating distress.</w:t>
            </w:r>
          </w:p>
        </w:tc>
      </w:tr>
      <w:tr>
        <w:tc>
          <w:tcPr>
            <w:tcW w:type="dxa" w:w="900"/>
          </w:tcPr>
          <w:p>
            <w:r>
              <w:rPr>
                <w:sz w:val="18"/>
              </w:rPr>
              <w:t>Distress</w:t>
            </w:r>
          </w:p>
        </w:tc>
        <w:tc>
          <w:tcPr>
            <w:tcW w:type="dxa" w:w="900"/>
          </w:tcPr>
          <w:p>
            <w:r>
              <w:rPr>
                <w:b/>
                <w:sz w:val="18"/>
              </w:rPr>
              <w:t>RH</w:t>
            </w:r>
          </w:p>
        </w:tc>
        <w:tc>
          <w:tcPr>
            <w:tcW w:type="dxa" w:w="900"/>
          </w:tcPr>
          <w:p>
            <w:r>
              <w:rPr>
                <w:sz w:val="18"/>
              </w:rPr>
              <w:t>30.2</w:t>
            </w:r>
          </w:p>
        </w:tc>
        <w:tc>
          <w:tcPr>
            <w:tcW w:type="dxa" w:w="1200"/>
          </w:tcPr>
          <w:p>
            <w:r>
              <w:rPr>
                <w:sz w:val="18"/>
              </w:rPr>
              <w:t>Ambiguous</w:t>
            </w:r>
          </w:p>
        </w:tc>
        <w:tc>
          <w:tcPr>
            <w:tcW w:type="dxa" w:w="5700"/>
          </w:tcPr>
          <w:p>
            <w:r>
              <w:rPr>
                <w:sz w:val="18"/>
              </w:rPr>
              <w:t>Genuinely thin cash ($53.8M) against ~7x net leverage, but management's stated de-leveraging plan is to monetize ~$500M of real estate and $300M of excess inventory -- an active asset-sale process, not an equity ask.</w:t>
            </w:r>
          </w:p>
        </w:tc>
      </w:tr>
      <w:tr>
        <w:tc>
          <w:tcPr>
            <w:tcW w:type="dxa" w:w="900"/>
          </w:tcPr>
          <w:p>
            <w:r>
              <w:rPr>
                <w:sz w:val="18"/>
              </w:rPr>
              <w:t>Distress</w:t>
            </w:r>
          </w:p>
        </w:tc>
        <w:tc>
          <w:tcPr>
            <w:tcW w:type="dxa" w:w="900"/>
          </w:tcPr>
          <w:p>
            <w:r>
              <w:rPr>
                <w:b/>
                <w:sz w:val="18"/>
              </w:rPr>
              <w:t>PLBY</w:t>
            </w:r>
          </w:p>
        </w:tc>
        <w:tc>
          <w:tcPr>
            <w:tcW w:type="dxa" w:w="900"/>
          </w:tcPr>
          <w:p>
            <w:r>
              <w:rPr>
                <w:sz w:val="18"/>
              </w:rPr>
              <w:t>30.2</w:t>
            </w:r>
          </w:p>
        </w:tc>
        <w:tc>
          <w:tcPr>
            <w:tcW w:type="dxa" w:w="1200"/>
          </w:tcPr>
          <w:p>
            <w:r>
              <w:rPr>
                <w:sz w:val="18"/>
              </w:rPr>
              <w:t>Drop</w:t>
            </w:r>
          </w:p>
        </w:tc>
        <w:tc>
          <w:tcPr>
            <w:tcW w:type="dxa" w:w="5700"/>
          </w:tcPr>
          <w:p>
            <w:r>
              <w:rPr>
                <w:sz w:val="18"/>
              </w:rPr>
              <w:t>Barely profitable with six consecutive quarters of positive adjusted EBITDA, in leverage-covenant compliance, and its prior Nasdaq minimum-bid-price notice was already cured; stabilizing, not distressed.</w:t>
            </w:r>
          </w:p>
        </w:tc>
      </w:tr>
      <w:tr>
        <w:tc>
          <w:tcPr>
            <w:tcW w:type="dxa" w:w="900"/>
          </w:tcPr>
          <w:p>
            <w:r>
              <w:rPr>
                <w:sz w:val="18"/>
              </w:rPr>
              <w:t>Distress</w:t>
            </w:r>
          </w:p>
        </w:tc>
        <w:tc>
          <w:tcPr>
            <w:tcW w:type="dxa" w:w="900"/>
          </w:tcPr>
          <w:p>
            <w:r>
              <w:rPr>
                <w:b/>
                <w:sz w:val="18"/>
              </w:rPr>
              <w:t>ONT</w:t>
            </w:r>
          </w:p>
        </w:tc>
        <w:tc>
          <w:tcPr>
            <w:tcW w:type="dxa" w:w="900"/>
          </w:tcPr>
          <w:p>
            <w:r>
              <w:rPr>
                <w:sz w:val="18"/>
              </w:rPr>
              <w:t>30.2</w:t>
            </w:r>
          </w:p>
        </w:tc>
        <w:tc>
          <w:tcPr>
            <w:tcW w:type="dxa" w:w="1200"/>
          </w:tcPr>
          <w:p>
            <w:r>
              <w:rPr>
                <w:sz w:val="18"/>
              </w:rPr>
              <w:t>Drop</w:t>
            </w:r>
          </w:p>
        </w:tc>
        <w:tc>
          <w:tcPr>
            <w:tcW w:type="dxa" w:w="5700"/>
          </w:tcPr>
          <w:p>
            <w:r>
              <w:rPr>
                <w:sz w:val="18"/>
              </w:rPr>
              <w:t>$188.4M total liquidity (cash + revolver availability) with leverage below its covenant threshold and no going-concern language; an activist-investigation/litigation overhang doesn't itself create a capital need.</w:t>
            </w:r>
          </w:p>
        </w:tc>
      </w:tr>
      <w:tr>
        <w:tc>
          <w:tcPr>
            <w:tcW w:type="dxa" w:w="900"/>
          </w:tcPr>
          <w:p>
            <w:r>
              <w:rPr>
                <w:sz w:val="18"/>
              </w:rPr>
              <w:t>Distress</w:t>
            </w:r>
          </w:p>
        </w:tc>
        <w:tc>
          <w:tcPr>
            <w:tcW w:type="dxa" w:w="900"/>
          </w:tcPr>
          <w:p>
            <w:r>
              <w:rPr>
                <w:b/>
                <w:sz w:val="18"/>
              </w:rPr>
              <w:t>OI</w:t>
            </w:r>
          </w:p>
        </w:tc>
        <w:tc>
          <w:tcPr>
            <w:tcW w:type="dxa" w:w="900"/>
          </w:tcPr>
          <w:p>
            <w:r>
              <w:rPr>
                <w:sz w:val="18"/>
              </w:rPr>
              <w:t>30.2</w:t>
            </w:r>
          </w:p>
        </w:tc>
        <w:tc>
          <w:tcPr>
            <w:tcW w:type="dxa" w:w="1200"/>
          </w:tcPr>
          <w:p>
            <w:r>
              <w:rPr>
                <w:sz w:val="18"/>
              </w:rPr>
              <w:t>Drop</w:t>
            </w:r>
          </w:p>
        </w:tc>
        <w:tc>
          <w:tcPr>
            <w:tcW w:type="dxa" w:w="5700"/>
          </w:tcPr>
          <w:p>
            <w:r>
              <w:rPr>
                <w:sz w:val="18"/>
              </w:rPr>
              <w:t>$1.11B undrawn on its credit facility and already refinanced its 2027 debt maturity in May 2026; ample capacity, no going concern found.</w:t>
            </w:r>
          </w:p>
        </w:tc>
      </w:tr>
      <w:tr>
        <w:tc>
          <w:tcPr>
            <w:tcW w:type="dxa" w:w="900"/>
          </w:tcPr>
          <w:p>
            <w:r>
              <w:rPr>
                <w:sz w:val="18"/>
              </w:rPr>
              <w:t>Distress</w:t>
            </w:r>
          </w:p>
        </w:tc>
        <w:tc>
          <w:tcPr>
            <w:tcW w:type="dxa" w:w="900"/>
          </w:tcPr>
          <w:p>
            <w:r>
              <w:rPr>
                <w:b/>
                <w:sz w:val="18"/>
              </w:rPr>
              <w:t>MBC</w:t>
            </w:r>
          </w:p>
        </w:tc>
        <w:tc>
          <w:tcPr>
            <w:tcW w:type="dxa" w:w="900"/>
          </w:tcPr>
          <w:p>
            <w:r>
              <w:rPr>
                <w:sz w:val="18"/>
              </w:rPr>
              <w:t>30.2</w:t>
            </w:r>
          </w:p>
        </w:tc>
        <w:tc>
          <w:tcPr>
            <w:tcW w:type="dxa" w:w="1200"/>
          </w:tcPr>
          <w:p>
            <w:r>
              <w:rPr>
                <w:sz w:val="18"/>
              </w:rPr>
              <w:t>Drop</w:t>
            </w:r>
          </w:p>
        </w:tc>
        <w:tc>
          <w:tcPr>
            <w:tcW w:type="dxa" w:w="5700"/>
          </w:tcPr>
          <w:p>
            <w:r>
              <w:rPr>
                <w:sz w:val="18"/>
              </w:rPr>
              <w:t>Positive free cash flow ($128.6M) and ~$355M of revolver availability with covenants already amended for flexibility; net loss was merger/legacy-accounting driven, not a cash problem.</w:t>
            </w:r>
          </w:p>
        </w:tc>
      </w:tr>
      <w:tr>
        <w:tc>
          <w:tcPr>
            <w:tcW w:type="dxa" w:w="900"/>
          </w:tcPr>
          <w:p>
            <w:r>
              <w:rPr>
                <w:sz w:val="18"/>
              </w:rPr>
              <w:t>Distress</w:t>
            </w:r>
          </w:p>
        </w:tc>
        <w:tc>
          <w:tcPr>
            <w:tcW w:type="dxa" w:w="900"/>
          </w:tcPr>
          <w:p>
            <w:r>
              <w:rPr>
                <w:b/>
                <w:sz w:val="18"/>
              </w:rPr>
              <w:t>KLC</w:t>
            </w:r>
          </w:p>
        </w:tc>
        <w:tc>
          <w:tcPr>
            <w:tcW w:type="dxa" w:w="900"/>
          </w:tcPr>
          <w:p>
            <w:r>
              <w:rPr>
                <w:sz w:val="18"/>
              </w:rPr>
              <w:t>30.2</w:t>
            </w:r>
          </w:p>
        </w:tc>
        <w:tc>
          <w:tcPr>
            <w:tcW w:type="dxa" w:w="1200"/>
          </w:tcPr>
          <w:p>
            <w:r>
              <w:rPr>
                <w:sz w:val="18"/>
              </w:rPr>
              <w:t>Drop</w:t>
            </w:r>
          </w:p>
        </w:tc>
        <w:tc>
          <w:tcPr>
            <w:tcW w:type="dxa" w:w="5700"/>
          </w:tcPr>
          <w:p>
            <w:r>
              <w:rPr>
                <w:sz w:val="18"/>
              </w:rPr>
              <w:t>$322.6M total liquidity and $238.5M of 2025 operating cash flow; the large net loss was a non-cash goodwill impairment, not operational distress.</w:t>
            </w:r>
          </w:p>
        </w:tc>
      </w:tr>
      <w:tr>
        <w:tc>
          <w:tcPr>
            <w:tcW w:type="dxa" w:w="900"/>
          </w:tcPr>
          <w:p>
            <w:r>
              <w:rPr>
                <w:sz w:val="18"/>
              </w:rPr>
              <w:t>Distress</w:t>
            </w:r>
          </w:p>
        </w:tc>
        <w:tc>
          <w:tcPr>
            <w:tcW w:type="dxa" w:w="900"/>
          </w:tcPr>
          <w:p>
            <w:r>
              <w:rPr>
                <w:b/>
                <w:sz w:val="18"/>
              </w:rPr>
              <w:t>HCAT</w:t>
            </w:r>
          </w:p>
        </w:tc>
        <w:tc>
          <w:tcPr>
            <w:tcW w:type="dxa" w:w="900"/>
          </w:tcPr>
          <w:p>
            <w:r>
              <w:rPr>
                <w:sz w:val="18"/>
              </w:rPr>
              <w:t>30.2</w:t>
            </w:r>
          </w:p>
        </w:tc>
        <w:tc>
          <w:tcPr>
            <w:tcW w:type="dxa" w:w="1200"/>
          </w:tcPr>
          <w:p>
            <w:r>
              <w:rPr>
                <w:sz w:val="18"/>
              </w:rPr>
              <w:t>Drop</w:t>
            </w:r>
          </w:p>
        </w:tc>
        <w:tc>
          <w:tcPr>
            <w:tcW w:type="dxa" w:w="5700"/>
          </w:tcPr>
          <w:p>
            <w:r>
              <w:rPr>
                <w:sz w:val="18"/>
              </w:rPr>
              <w:t>Debt-free after retiring its credit facility and divesting Vitalware for $147M net proceeds (a revealed asset-sale preference over equity); adjusted EBITDA margin improving.</w:t>
            </w:r>
          </w:p>
        </w:tc>
      </w:tr>
      <w:tr>
        <w:tc>
          <w:tcPr>
            <w:tcW w:type="dxa" w:w="900"/>
          </w:tcPr>
          <w:p>
            <w:r>
              <w:rPr>
                <w:sz w:val="18"/>
              </w:rPr>
              <w:t>Distress</w:t>
            </w:r>
          </w:p>
        </w:tc>
        <w:tc>
          <w:tcPr>
            <w:tcW w:type="dxa" w:w="900"/>
          </w:tcPr>
          <w:p>
            <w:r>
              <w:rPr>
                <w:b/>
                <w:sz w:val="18"/>
              </w:rPr>
              <w:t>GRPN</w:t>
            </w:r>
          </w:p>
        </w:tc>
        <w:tc>
          <w:tcPr>
            <w:tcW w:type="dxa" w:w="900"/>
          </w:tcPr>
          <w:p>
            <w:r>
              <w:rPr>
                <w:sz w:val="18"/>
              </w:rPr>
              <w:t>30.2</w:t>
            </w:r>
          </w:p>
        </w:tc>
        <w:tc>
          <w:tcPr>
            <w:tcW w:type="dxa" w:w="1200"/>
          </w:tcPr>
          <w:p>
            <w:r>
              <w:rPr>
                <w:sz w:val="18"/>
              </w:rPr>
              <w:t>Ambiguous</w:t>
            </w:r>
          </w:p>
        </w:tc>
        <w:tc>
          <w:tcPr>
            <w:tcW w:type="dxa" w:w="5700"/>
          </w:tcPr>
          <w:p>
            <w:r>
              <w:rPr>
                <w:sz w:val="18"/>
              </w:rPr>
              <w:t>Genuine stockholders' equity deficit ($72.1M) and a 2027 convertible-note maturity approaching, but the 10-Q itself asserts liquidity is sufficient to repay those notes and no going-concern language was found.</w:t>
            </w:r>
          </w:p>
        </w:tc>
      </w:tr>
      <w:tr>
        <w:tc>
          <w:tcPr>
            <w:tcW w:type="dxa" w:w="900"/>
          </w:tcPr>
          <w:p>
            <w:r>
              <w:rPr>
                <w:sz w:val="18"/>
              </w:rPr>
              <w:t>Distress</w:t>
            </w:r>
          </w:p>
        </w:tc>
        <w:tc>
          <w:tcPr>
            <w:tcW w:type="dxa" w:w="900"/>
          </w:tcPr>
          <w:p>
            <w:r>
              <w:rPr>
                <w:b/>
                <w:sz w:val="18"/>
              </w:rPr>
              <w:t>FWRD</w:t>
            </w:r>
          </w:p>
        </w:tc>
        <w:tc>
          <w:tcPr>
            <w:tcW w:type="dxa" w:w="900"/>
          </w:tcPr>
          <w:p>
            <w:r>
              <w:rPr>
                <w:sz w:val="18"/>
              </w:rPr>
              <w:t>30.2</w:t>
            </w:r>
          </w:p>
        </w:tc>
        <w:tc>
          <w:tcPr>
            <w:tcW w:type="dxa" w:w="1200"/>
          </w:tcPr>
          <w:p>
            <w:r>
              <w:rPr>
                <w:sz w:val="18"/>
              </w:rPr>
              <w:t>Ambiguous</w:t>
            </w:r>
          </w:p>
        </w:tc>
        <w:tc>
          <w:tcPr>
            <w:tcW w:type="dxa" w:w="5700"/>
          </w:tcPr>
          <w:p>
            <w:r>
              <w:rPr>
                <w:sz w:val="18"/>
              </w:rPr>
              <w:t>Leverage covenant is tightening (5.44x against a 6.25x cap, stepping to 5.5x by end-2026) and a major customer ($250M revenue) is departing in early 2027, but the $261M revolver is undrawn and the company is exploring "strategic alternatives" (M&amp;A-like process) rather than signaling an equity raise.</w:t>
            </w:r>
          </w:p>
        </w:tc>
      </w:tr>
      <w:tr>
        <w:tc>
          <w:tcPr>
            <w:tcW w:type="dxa" w:w="900"/>
          </w:tcPr>
          <w:p>
            <w:r>
              <w:rPr>
                <w:sz w:val="18"/>
              </w:rPr>
              <w:t>Distress</w:t>
            </w:r>
          </w:p>
        </w:tc>
        <w:tc>
          <w:tcPr>
            <w:tcW w:type="dxa" w:w="900"/>
          </w:tcPr>
          <w:p>
            <w:r>
              <w:rPr>
                <w:b/>
                <w:sz w:val="18"/>
              </w:rPr>
              <w:t>EVH</w:t>
            </w:r>
          </w:p>
        </w:tc>
        <w:tc>
          <w:tcPr>
            <w:tcW w:type="dxa" w:w="900"/>
          </w:tcPr>
          <w:p>
            <w:r>
              <w:rPr>
                <w:sz w:val="18"/>
              </w:rPr>
              <w:t>30.2</w:t>
            </w:r>
          </w:p>
        </w:tc>
        <w:tc>
          <w:tcPr>
            <w:tcW w:type="dxa" w:w="1200"/>
          </w:tcPr>
          <w:p>
            <w:r>
              <w:rPr>
                <w:sz w:val="18"/>
              </w:rPr>
              <w:t>Drop</w:t>
            </w:r>
          </w:p>
        </w:tc>
        <w:tc>
          <w:tcPr>
            <w:tcW w:type="dxa" w:w="5700"/>
          </w:tcPr>
          <w:p>
            <w:r>
              <w:rPr>
                <w:sz w:val="18"/>
              </w:rPr>
              <w:t>Management states liquidity is sufficient for the next 12 months and the company just refinanced via a $140M convertible-note issuance (debt, not equity); no near-term maturity, no going concern found.</w:t>
            </w:r>
          </w:p>
        </w:tc>
      </w:tr>
      <w:tr>
        <w:tc>
          <w:tcPr>
            <w:tcW w:type="dxa" w:w="900"/>
          </w:tcPr>
          <w:p>
            <w:r>
              <w:rPr>
                <w:sz w:val="18"/>
              </w:rPr>
              <w:t>Distress</w:t>
            </w:r>
          </w:p>
        </w:tc>
        <w:tc>
          <w:tcPr>
            <w:tcW w:type="dxa" w:w="900"/>
          </w:tcPr>
          <w:p>
            <w:r>
              <w:rPr>
                <w:b/>
                <w:sz w:val="18"/>
              </w:rPr>
              <w:t>CWH</w:t>
            </w:r>
          </w:p>
        </w:tc>
        <w:tc>
          <w:tcPr>
            <w:tcW w:type="dxa" w:w="900"/>
          </w:tcPr>
          <w:p>
            <w:r>
              <w:rPr>
                <w:sz w:val="18"/>
              </w:rPr>
              <w:t>30.2</w:t>
            </w:r>
          </w:p>
        </w:tc>
        <w:tc>
          <w:tcPr>
            <w:tcW w:type="dxa" w:w="1200"/>
          </w:tcPr>
          <w:p>
            <w:r>
              <w:rPr>
                <w:sz w:val="18"/>
              </w:rPr>
              <w:t>Drop</w:t>
            </w:r>
          </w:p>
        </w:tc>
        <w:tc>
          <w:tcPr>
            <w:tcW w:type="dxa" w:w="5700"/>
          </w:tcPr>
          <w:p>
            <w:r>
              <w:rPr>
                <w:sz w:val="18"/>
              </w:rPr>
              <w:t>Now profitable (Q2 net income $43.7M) and already completed a $300M follow-on equity offering in 2026; capital need already addressed via a recent primary raise.</w:t>
            </w:r>
          </w:p>
        </w:tc>
      </w:tr>
      <w:tr>
        <w:tc>
          <w:tcPr>
            <w:tcW w:type="dxa" w:w="900"/>
          </w:tcPr>
          <w:p>
            <w:r>
              <w:rPr>
                <w:sz w:val="18"/>
              </w:rPr>
              <w:t>Distress</w:t>
            </w:r>
          </w:p>
        </w:tc>
        <w:tc>
          <w:tcPr>
            <w:tcW w:type="dxa" w:w="900"/>
          </w:tcPr>
          <w:p>
            <w:r>
              <w:rPr>
                <w:b/>
                <w:sz w:val="18"/>
              </w:rPr>
              <w:t>CPS</w:t>
            </w:r>
          </w:p>
        </w:tc>
        <w:tc>
          <w:tcPr>
            <w:tcW w:type="dxa" w:w="900"/>
          </w:tcPr>
          <w:p>
            <w:r>
              <w:rPr>
                <w:sz w:val="18"/>
              </w:rPr>
              <w:t>30.2</w:t>
            </w:r>
          </w:p>
        </w:tc>
        <w:tc>
          <w:tcPr>
            <w:tcW w:type="dxa" w:w="1200"/>
          </w:tcPr>
          <w:p>
            <w:r>
              <w:rPr>
                <w:sz w:val="18"/>
              </w:rPr>
              <w:t>Drop</w:t>
            </w:r>
          </w:p>
        </w:tc>
        <w:tc>
          <w:tcPr>
            <w:tcW w:type="dxa" w:w="5700"/>
          </w:tcPr>
          <w:p>
            <w:r>
              <w:rPr>
                <w:sz w:val="18"/>
              </w:rPr>
              <w:t>Refinanced its notes out to a 2031 maturity in March 2026 (no near-term refinancing pressure) with $167M of ABL availability; no going-concern language despite a negative book equity.</w:t>
            </w:r>
          </w:p>
        </w:tc>
      </w:tr>
      <w:tr>
        <w:tc>
          <w:tcPr>
            <w:tcW w:type="dxa" w:w="900"/>
          </w:tcPr>
          <w:p>
            <w:r>
              <w:rPr>
                <w:sz w:val="18"/>
              </w:rPr>
              <w:t>Distress</w:t>
            </w:r>
          </w:p>
        </w:tc>
        <w:tc>
          <w:tcPr>
            <w:tcW w:type="dxa" w:w="900"/>
          </w:tcPr>
          <w:p>
            <w:r>
              <w:rPr>
                <w:b/>
                <w:sz w:val="18"/>
              </w:rPr>
              <w:t>CNDT</w:t>
            </w:r>
          </w:p>
        </w:tc>
        <w:tc>
          <w:tcPr>
            <w:tcW w:type="dxa" w:w="900"/>
          </w:tcPr>
          <w:p>
            <w:r>
              <w:rPr>
                <w:sz w:val="18"/>
              </w:rPr>
              <w:t>30.2</w:t>
            </w:r>
          </w:p>
        </w:tc>
        <w:tc>
          <w:tcPr>
            <w:tcW w:type="dxa" w:w="1200"/>
          </w:tcPr>
          <w:p>
            <w:r>
              <w:rPr>
                <w:sz w:val="18"/>
              </w:rPr>
              <w:t>Drop</w:t>
            </w:r>
          </w:p>
        </w:tc>
        <w:tc>
          <w:tcPr>
            <w:tcW w:type="dxa" w:w="5700"/>
          </w:tcPr>
          <w:p>
            <w:r>
              <w:rPr>
                <w:sz w:val="18"/>
              </w:rPr>
              <w:t>~$190M of net available credit plus $234M of asset-sale proceeds from the Modaxo transaction (revealed non-equity preference); no going concern, no near-term maturity.</w:t>
            </w:r>
          </w:p>
        </w:tc>
      </w:tr>
      <w:tr>
        <w:tc>
          <w:tcPr>
            <w:tcW w:type="dxa" w:w="900"/>
          </w:tcPr>
          <w:p>
            <w:r>
              <w:rPr>
                <w:sz w:val="18"/>
              </w:rPr>
              <w:t>Distress</w:t>
            </w:r>
          </w:p>
        </w:tc>
        <w:tc>
          <w:tcPr>
            <w:tcW w:type="dxa" w:w="900"/>
          </w:tcPr>
          <w:p>
            <w:r>
              <w:rPr>
                <w:b/>
                <w:sz w:val="18"/>
              </w:rPr>
              <w:t>AIRS</w:t>
            </w:r>
          </w:p>
        </w:tc>
        <w:tc>
          <w:tcPr>
            <w:tcW w:type="dxa" w:w="900"/>
          </w:tcPr>
          <w:p>
            <w:r>
              <w:rPr>
                <w:sz w:val="18"/>
              </w:rPr>
              <w:t>30.2</w:t>
            </w:r>
          </w:p>
        </w:tc>
        <w:tc>
          <w:tcPr>
            <w:tcW w:type="dxa" w:w="1200"/>
          </w:tcPr>
          <w:p>
            <w:r>
              <w:rPr>
                <w:sz w:val="18"/>
              </w:rPr>
              <w:t>Ambiguous</w:t>
            </w:r>
          </w:p>
        </w:tc>
        <w:tc>
          <w:tcPr>
            <w:tcW w:type="dxa" w:w="5700"/>
          </w:tcPr>
          <w:p>
            <w:r>
              <w:rPr>
                <w:sz w:val="18"/>
              </w:rPr>
              <w:t>Genuinely thin liquidity ($18.8M cash, only $5M revolver available) and a debt-amendment payment due September 2026, but the company is already funding itself continuously through an active ATM equity program, making a discrete new-raise pitch largely redundant.</w:t>
            </w:r>
          </w:p>
        </w:tc>
      </w:tr>
      <w:tr>
        <w:tc>
          <w:tcPr>
            <w:tcW w:type="dxa" w:w="900"/>
          </w:tcPr>
          <w:p>
            <w:r>
              <w:rPr>
                <w:sz w:val="18"/>
              </w:rPr>
              <w:t>Distress</w:t>
            </w:r>
          </w:p>
        </w:tc>
        <w:tc>
          <w:tcPr>
            <w:tcW w:type="dxa" w:w="900"/>
          </w:tcPr>
          <w:p>
            <w:r>
              <w:rPr>
                <w:b/>
                <w:sz w:val="18"/>
              </w:rPr>
              <w:t>BXBL</w:t>
            </w:r>
          </w:p>
        </w:tc>
        <w:tc>
          <w:tcPr>
            <w:tcW w:type="dxa" w:w="900"/>
          </w:tcPr>
          <w:p>
            <w:r>
              <w:rPr>
                <w:sz w:val="18"/>
              </w:rPr>
              <w:t>29.2</w:t>
            </w:r>
          </w:p>
        </w:tc>
        <w:tc>
          <w:tcPr>
            <w:tcW w:type="dxa" w:w="1200"/>
          </w:tcPr>
          <w:p>
            <w:r>
              <w:rPr>
                <w:sz w:val="18"/>
              </w:rPr>
              <w:t>Keep</w:t>
            </w:r>
          </w:p>
        </w:tc>
        <w:tc>
          <w:tcPr>
            <w:tcW w:type="dxa" w:w="5700"/>
          </w:tcPr>
          <w:p>
            <w:r>
              <w:rPr>
                <w:sz w:val="18"/>
              </w:rPr>
              <w:t>Explicit going-concern language in the Q1 2026 10-Q, ~7-month cash runway ($22M cash vs. ~$40M annual burn), zero debt, and a newly effective $500M shelf (Aug 10, 2026) ready for a primary raise. One-pager written.</w:t>
            </w:r>
          </w:p>
        </w:tc>
      </w:tr>
      <w:tr>
        <w:tc>
          <w:tcPr>
            <w:tcW w:type="dxa" w:w="900"/>
          </w:tcPr>
          <w:p>
            <w:r>
              <w:rPr>
                <w:sz w:val="18"/>
              </w:rPr>
              <w:t>Distress</w:t>
            </w:r>
          </w:p>
        </w:tc>
        <w:tc>
          <w:tcPr>
            <w:tcW w:type="dxa" w:w="900"/>
          </w:tcPr>
          <w:p>
            <w:r>
              <w:rPr>
                <w:b/>
                <w:sz w:val="18"/>
              </w:rPr>
              <w:t>AIOT</w:t>
            </w:r>
          </w:p>
        </w:tc>
        <w:tc>
          <w:tcPr>
            <w:tcW w:type="dxa" w:w="900"/>
          </w:tcPr>
          <w:p>
            <w:r>
              <w:rPr>
                <w:sz w:val="18"/>
              </w:rPr>
              <w:t>29.0</w:t>
            </w:r>
          </w:p>
        </w:tc>
        <w:tc>
          <w:tcPr>
            <w:tcW w:type="dxa" w:w="1200"/>
          </w:tcPr>
          <w:p>
            <w:r>
              <w:rPr>
                <w:sz w:val="18"/>
              </w:rPr>
              <w:t>Ambiguous</w:t>
            </w:r>
          </w:p>
        </w:tc>
        <w:tc>
          <w:tcPr>
            <w:tcW w:type="dxa" w:w="5700"/>
          </w:tcPr>
          <w:p>
            <w:r>
              <w:rPr>
                <w:sz w:val="18"/>
              </w:rPr>
              <w:t>Thin cash ($32.8M) against tight near-term debt maturities ($5M due 2026, $48M due 2027), but going-concern status and current Nasdaq filing-compliance status could not be confirmed either way this run.</w:t>
            </w:r>
          </w:p>
        </w:tc>
      </w:tr>
      <w:tr>
        <w:tc>
          <w:tcPr>
            <w:tcW w:type="dxa" w:w="900"/>
          </w:tcPr>
          <w:p>
            <w:r>
              <w:rPr>
                <w:sz w:val="18"/>
              </w:rPr>
              <w:t>Distress</w:t>
            </w:r>
          </w:p>
        </w:tc>
        <w:tc>
          <w:tcPr>
            <w:tcW w:type="dxa" w:w="900"/>
          </w:tcPr>
          <w:p>
            <w:r>
              <w:rPr>
                <w:b/>
                <w:sz w:val="18"/>
              </w:rPr>
              <w:t>TMCI</w:t>
            </w:r>
          </w:p>
        </w:tc>
        <w:tc>
          <w:tcPr>
            <w:tcW w:type="dxa" w:w="900"/>
          </w:tcPr>
          <w:p>
            <w:r>
              <w:rPr>
                <w:sz w:val="18"/>
              </w:rPr>
              <w:t>28.2</w:t>
            </w:r>
          </w:p>
        </w:tc>
        <w:tc>
          <w:tcPr>
            <w:tcW w:type="dxa" w:w="1200"/>
          </w:tcPr>
          <w:p>
            <w:r>
              <w:rPr>
                <w:sz w:val="18"/>
              </w:rPr>
              <w:t>Drop</w:t>
            </w:r>
          </w:p>
        </w:tc>
        <w:tc>
          <w:tcPr>
            <w:tcW w:type="dxa" w:w="5700"/>
          </w:tcPr>
          <w:p>
            <w:r>
              <w:rPr>
                <w:sz w:val="18"/>
              </w:rPr>
              <w:t>$115M undrawn on its credit facility with narrowing losses; no going-concern language found.</w:t>
            </w:r>
          </w:p>
        </w:tc>
      </w:tr>
      <w:tr>
        <w:tc>
          <w:tcPr>
            <w:tcW w:type="dxa" w:w="900"/>
          </w:tcPr>
          <w:p>
            <w:r>
              <w:rPr>
                <w:sz w:val="18"/>
              </w:rPr>
              <w:t>Distress</w:t>
            </w:r>
          </w:p>
        </w:tc>
        <w:tc>
          <w:tcPr>
            <w:tcW w:type="dxa" w:w="900"/>
          </w:tcPr>
          <w:p>
            <w:r>
              <w:rPr>
                <w:b/>
                <w:sz w:val="18"/>
              </w:rPr>
              <w:t>LENZ</w:t>
            </w:r>
          </w:p>
        </w:tc>
        <w:tc>
          <w:tcPr>
            <w:tcW w:type="dxa" w:w="900"/>
          </w:tcPr>
          <w:p>
            <w:r>
              <w:rPr>
                <w:sz w:val="18"/>
              </w:rPr>
              <w:t>28.2</w:t>
            </w:r>
          </w:p>
        </w:tc>
        <w:tc>
          <w:tcPr>
            <w:tcW w:type="dxa" w:w="1200"/>
          </w:tcPr>
          <w:p>
            <w:r>
              <w:rPr>
                <w:sz w:val="18"/>
              </w:rPr>
              <w:t>Drop</w:t>
            </w:r>
          </w:p>
        </w:tc>
        <w:tc>
          <w:tcPr>
            <w:tcW w:type="dxa" w:w="5700"/>
          </w:tcPr>
          <w:p>
            <w:r>
              <w:rPr>
                <w:sz w:val="18"/>
              </w:rPr>
              <w:t>Closed a $147.1M equity raise (registered direct/ATM) as of June 30, 2026, inside the 6-month lookback; capital need already addressed, and $220M cash is ample regardless.</w:t>
            </w:r>
          </w:p>
        </w:tc>
      </w:tr>
      <w:tr>
        <w:tc>
          <w:tcPr>
            <w:tcW w:type="dxa" w:w="900"/>
          </w:tcPr>
          <w:p>
            <w:r>
              <w:rPr>
                <w:sz w:val="18"/>
              </w:rPr>
              <w:t>Distress</w:t>
            </w:r>
          </w:p>
        </w:tc>
        <w:tc>
          <w:tcPr>
            <w:tcW w:type="dxa" w:w="900"/>
          </w:tcPr>
          <w:p>
            <w:r>
              <w:rPr>
                <w:b/>
                <w:sz w:val="18"/>
              </w:rPr>
              <w:t>BMBL</w:t>
            </w:r>
          </w:p>
        </w:tc>
        <w:tc>
          <w:tcPr>
            <w:tcW w:type="dxa" w:w="900"/>
          </w:tcPr>
          <w:p>
            <w:r>
              <w:rPr>
                <w:sz w:val="18"/>
              </w:rPr>
              <w:t>28.2</w:t>
            </w:r>
          </w:p>
        </w:tc>
        <w:tc>
          <w:tcPr>
            <w:tcW w:type="dxa" w:w="1200"/>
          </w:tcPr>
          <w:p>
            <w:r>
              <w:rPr>
                <w:sz w:val="18"/>
              </w:rPr>
              <w:t>Drop</w:t>
            </w:r>
          </w:p>
        </w:tc>
        <w:tc>
          <w:tcPr>
            <w:tcW w:type="dxa" w:w="5700"/>
          </w:tcPr>
          <w:p>
            <w:r>
              <w:rPr>
                <w:sz w:val="18"/>
              </w:rPr>
              <w:t>Successfully refinanced its debt in April 2026 (evidencing continued capital-markets access), with the binding leverage-covenant step-down not due until mid-2028; no going concern found.</w:t>
            </w:r>
          </w:p>
        </w:tc>
      </w:tr>
      <w:tr>
        <w:tc>
          <w:tcPr>
            <w:tcW w:type="dxa" w:w="900"/>
          </w:tcPr>
          <w:p>
            <w:r>
              <w:rPr>
                <w:sz w:val="18"/>
              </w:rPr>
              <w:t>Distress</w:t>
            </w:r>
          </w:p>
        </w:tc>
        <w:tc>
          <w:tcPr>
            <w:tcW w:type="dxa" w:w="900"/>
          </w:tcPr>
          <w:p>
            <w:r>
              <w:rPr>
                <w:b/>
                <w:sz w:val="18"/>
              </w:rPr>
              <w:t>SHAK</w:t>
            </w:r>
          </w:p>
        </w:tc>
        <w:tc>
          <w:tcPr>
            <w:tcW w:type="dxa" w:w="900"/>
          </w:tcPr>
          <w:p>
            <w:r>
              <w:rPr>
                <w:sz w:val="18"/>
              </w:rPr>
              <w:t>28.0</w:t>
            </w:r>
          </w:p>
        </w:tc>
        <w:tc>
          <w:tcPr>
            <w:tcW w:type="dxa" w:w="1200"/>
          </w:tcPr>
          <w:p>
            <w:r>
              <w:rPr>
                <w:sz w:val="18"/>
              </w:rPr>
              <w:t>Drop</w:t>
            </w:r>
          </w:p>
        </w:tc>
        <w:tc>
          <w:tcPr>
            <w:tcW w:type="dxa" w:w="5700"/>
          </w:tcPr>
          <w:p>
            <w:r>
              <w:rPr>
                <w:sz w:val="18"/>
              </w:rPr>
              <w:t>Clearly profitable (Q2 net income $16.9M) with $308M cash; no distress signal despite the price decline.</w:t>
            </w:r>
          </w:p>
        </w:tc>
      </w:tr>
      <w:tr>
        <w:tc>
          <w:tcPr>
            <w:tcW w:type="dxa" w:w="900"/>
          </w:tcPr>
          <w:p>
            <w:r>
              <w:rPr>
                <w:sz w:val="18"/>
              </w:rPr>
              <w:t>Distress</w:t>
            </w:r>
          </w:p>
        </w:tc>
        <w:tc>
          <w:tcPr>
            <w:tcW w:type="dxa" w:w="900"/>
          </w:tcPr>
          <w:p>
            <w:r>
              <w:rPr>
                <w:b/>
                <w:sz w:val="18"/>
              </w:rPr>
              <w:t>GOGO</w:t>
            </w:r>
          </w:p>
        </w:tc>
        <w:tc>
          <w:tcPr>
            <w:tcW w:type="dxa" w:w="900"/>
          </w:tcPr>
          <w:p>
            <w:r>
              <w:rPr>
                <w:sz w:val="18"/>
              </w:rPr>
              <w:t>28.0</w:t>
            </w:r>
          </w:p>
        </w:tc>
        <w:tc>
          <w:tcPr>
            <w:tcW w:type="dxa" w:w="1200"/>
          </w:tcPr>
          <w:p>
            <w:r>
              <w:rPr>
                <w:sz w:val="18"/>
              </w:rPr>
              <w:t>Drop</w:t>
            </w:r>
          </w:p>
        </w:tc>
        <w:tc>
          <w:tcPr>
            <w:tcW w:type="dxa" w:w="5700"/>
          </w:tcPr>
          <w:p>
            <w:r>
              <w:rPr>
                <w:sz w:val="18"/>
              </w:rPr>
              <w:t>Positive and guided free cash flow ($65-85M FY2026), leverage described as constrained-but-adequate (3.6x), debt not due until 2028, no going concern found.</w:t>
            </w:r>
          </w:p>
        </w:tc>
      </w:tr>
      <w:tr>
        <w:tc>
          <w:tcPr>
            <w:tcW w:type="dxa" w:w="900"/>
          </w:tcPr>
          <w:p>
            <w:r>
              <w:rPr>
                <w:sz w:val="18"/>
              </w:rPr>
              <w:t>Distress</w:t>
            </w:r>
          </w:p>
        </w:tc>
        <w:tc>
          <w:tcPr>
            <w:tcW w:type="dxa" w:w="900"/>
          </w:tcPr>
          <w:p>
            <w:r>
              <w:rPr>
                <w:b/>
                <w:sz w:val="18"/>
              </w:rPr>
              <w:t>DJT</w:t>
            </w:r>
          </w:p>
        </w:tc>
        <w:tc>
          <w:tcPr>
            <w:tcW w:type="dxa" w:w="900"/>
          </w:tcPr>
          <w:p>
            <w:r>
              <w:rPr>
                <w:sz w:val="18"/>
              </w:rPr>
              <w:t>28.0</w:t>
            </w:r>
          </w:p>
        </w:tc>
        <w:tc>
          <w:tcPr>
            <w:tcW w:type="dxa" w:w="1200"/>
          </w:tcPr>
          <w:p>
            <w:r>
              <w:rPr>
                <w:sz w:val="18"/>
              </w:rPr>
              <w:t>Drop</w:t>
            </w:r>
          </w:p>
        </w:tc>
        <w:tc>
          <w:tcPr>
            <w:tcW w:type="dxa" w:w="5700"/>
          </w:tcPr>
          <w:p>
            <w:r>
              <w:rPr>
                <w:sz w:val="18"/>
              </w:rPr>
              <w:t>$1.86B of liquid/investable assets (cash, short-term investments, and a bitcoin treasury) comfortably covers the $1.0B convertible note due Nov 30, 2026; ample coverage despite the large dated maturity, no going concern.</w:t>
            </w:r>
          </w:p>
        </w:tc>
      </w:tr>
      <w:tr>
        <w:tc>
          <w:tcPr>
            <w:tcW w:type="dxa" w:w="900"/>
          </w:tcPr>
          <w:p>
            <w:r>
              <w:rPr>
                <w:sz w:val="18"/>
              </w:rPr>
              <w:t>Distress</w:t>
            </w:r>
          </w:p>
        </w:tc>
        <w:tc>
          <w:tcPr>
            <w:tcW w:type="dxa" w:w="900"/>
          </w:tcPr>
          <w:p>
            <w:r>
              <w:rPr>
                <w:b/>
                <w:sz w:val="18"/>
              </w:rPr>
              <w:t>ANNA</w:t>
            </w:r>
          </w:p>
        </w:tc>
        <w:tc>
          <w:tcPr>
            <w:tcW w:type="dxa" w:w="900"/>
          </w:tcPr>
          <w:p>
            <w:r>
              <w:rPr>
                <w:sz w:val="18"/>
              </w:rPr>
              <w:t>27.5</w:t>
            </w:r>
          </w:p>
        </w:tc>
        <w:tc>
          <w:tcPr>
            <w:tcW w:type="dxa" w:w="1200"/>
          </w:tcPr>
          <w:p>
            <w:r>
              <w:rPr>
                <w:sz w:val="18"/>
              </w:rPr>
              <w:t>Drop</w:t>
            </w:r>
          </w:p>
        </w:tc>
        <w:tc>
          <w:tcPr>
            <w:tcW w:type="dxa" w:w="5700"/>
          </w:tcPr>
          <w:p>
            <w:r>
              <w:rPr>
                <w:sz w:val="18"/>
              </w:rPr>
              <w:t>Four consecutive profitable quarters with an ample net cash position; the company's prior going-concern flag has already been resolved.</w:t>
            </w:r>
          </w:p>
        </w:tc>
      </w:tr>
      <w:tr>
        <w:tc>
          <w:tcPr>
            <w:tcW w:type="dxa" w:w="900"/>
          </w:tcPr>
          <w:p>
            <w:r>
              <w:rPr>
                <w:sz w:val="18"/>
              </w:rPr>
              <w:t>Distress</w:t>
            </w:r>
          </w:p>
        </w:tc>
        <w:tc>
          <w:tcPr>
            <w:tcW w:type="dxa" w:w="900"/>
          </w:tcPr>
          <w:p>
            <w:r>
              <w:rPr>
                <w:b/>
                <w:sz w:val="18"/>
              </w:rPr>
              <w:t>MDXG</w:t>
            </w:r>
          </w:p>
        </w:tc>
        <w:tc>
          <w:tcPr>
            <w:tcW w:type="dxa" w:w="900"/>
          </w:tcPr>
          <w:p>
            <w:r>
              <w:rPr>
                <w:sz w:val="18"/>
              </w:rPr>
              <w:t>27.2</w:t>
            </w:r>
          </w:p>
        </w:tc>
        <w:tc>
          <w:tcPr>
            <w:tcW w:type="dxa" w:w="1200"/>
          </w:tcPr>
          <w:p>
            <w:r>
              <w:rPr>
                <w:sz w:val="18"/>
              </w:rPr>
              <w:t>Drop</w:t>
            </w:r>
          </w:p>
        </w:tc>
        <w:tc>
          <w:tcPr>
            <w:tcW w:type="dxa" w:w="5700"/>
          </w:tcPr>
          <w:p>
            <w:r>
              <w:rPr>
                <w:sz w:val="18"/>
              </w:rPr>
              <w:t>Ample cash with a $75M undrawn revolver; its recent M&amp;A (Sanara MedTech acquisition) was financed via a committed term loan (debt), not equity.</w:t>
            </w:r>
          </w:p>
        </w:tc>
      </w:tr>
      <w:tr>
        <w:tc>
          <w:tcPr>
            <w:tcW w:type="dxa" w:w="900"/>
          </w:tcPr>
          <w:p>
            <w:r>
              <w:rPr>
                <w:sz w:val="18"/>
              </w:rPr>
              <w:t>Distress</w:t>
            </w:r>
          </w:p>
        </w:tc>
        <w:tc>
          <w:tcPr>
            <w:tcW w:type="dxa" w:w="900"/>
          </w:tcPr>
          <w:p>
            <w:r>
              <w:rPr>
                <w:b/>
                <w:sz w:val="18"/>
              </w:rPr>
              <w:t>COLL</w:t>
            </w:r>
          </w:p>
        </w:tc>
        <w:tc>
          <w:tcPr>
            <w:tcW w:type="dxa" w:w="900"/>
          </w:tcPr>
          <w:p>
            <w:r>
              <w:rPr>
                <w:sz w:val="18"/>
              </w:rPr>
              <w:t>27.2</w:t>
            </w:r>
          </w:p>
        </w:tc>
        <w:tc>
          <w:tcPr>
            <w:tcW w:type="dxa" w:w="1200"/>
          </w:tcPr>
          <w:p>
            <w:r>
              <w:rPr>
                <w:sz w:val="18"/>
              </w:rPr>
              <w:t>Drop</w:t>
            </w:r>
          </w:p>
        </w:tc>
        <w:tc>
          <w:tcPr>
            <w:tcW w:type="dxa" w:w="5700"/>
          </w:tcPr>
          <w:p>
            <w:r>
              <w:rPr>
                <w:sz w:val="18"/>
              </w:rPr>
              <w:t>Financed its $655.6M Azstarys acquisition via a delayed-draw term loan (debt), not equity; moderate leverage (~2.1x net debt/EBITDA), no going concern found.</w:t>
            </w:r>
          </w:p>
        </w:tc>
      </w:tr>
      <w:tr>
        <w:tc>
          <w:tcPr>
            <w:tcW w:type="dxa" w:w="900"/>
          </w:tcPr>
          <w:p>
            <w:r>
              <w:rPr>
                <w:sz w:val="18"/>
              </w:rPr>
              <w:t>Distress</w:t>
            </w:r>
          </w:p>
        </w:tc>
        <w:tc>
          <w:tcPr>
            <w:tcW w:type="dxa" w:w="900"/>
          </w:tcPr>
          <w:p>
            <w:r>
              <w:rPr>
                <w:b/>
                <w:sz w:val="18"/>
              </w:rPr>
              <w:t>AMPH</w:t>
            </w:r>
          </w:p>
        </w:tc>
        <w:tc>
          <w:tcPr>
            <w:tcW w:type="dxa" w:w="900"/>
          </w:tcPr>
          <w:p>
            <w:r>
              <w:rPr>
                <w:sz w:val="18"/>
              </w:rPr>
              <w:t>27.2</w:t>
            </w:r>
          </w:p>
        </w:tc>
        <w:tc>
          <w:tcPr>
            <w:tcW w:type="dxa" w:w="1200"/>
          </w:tcPr>
          <w:p>
            <w:r>
              <w:rPr>
                <w:sz w:val="18"/>
              </w:rPr>
              <w:t>Drop</w:t>
            </w:r>
          </w:p>
        </w:tc>
        <w:tc>
          <w:tcPr>
            <w:tcW w:type="dxa" w:w="5700"/>
          </w:tcPr>
          <w:p>
            <w:r>
              <w:rPr>
                <w:sz w:val="18"/>
              </w:rPr>
              <w:t>Clearly profitable (Q1/Q2 net income $6.4M/$30.3M) with $290.1M of total liquidity and positive operating cash flow.</w:t>
            </w:r>
          </w:p>
        </w:tc>
      </w:tr>
      <w:tr>
        <w:tc>
          <w:tcPr>
            <w:tcW w:type="dxa" w:w="900"/>
          </w:tcPr>
          <w:p>
            <w:r>
              <w:rPr>
                <w:sz w:val="18"/>
              </w:rPr>
              <w:t>Distress</w:t>
            </w:r>
          </w:p>
        </w:tc>
        <w:tc>
          <w:tcPr>
            <w:tcW w:type="dxa" w:w="900"/>
          </w:tcPr>
          <w:p>
            <w:r>
              <w:rPr>
                <w:b/>
                <w:sz w:val="18"/>
              </w:rPr>
              <w:t>SLDP</w:t>
            </w:r>
          </w:p>
        </w:tc>
        <w:tc>
          <w:tcPr>
            <w:tcW w:type="dxa" w:w="900"/>
          </w:tcPr>
          <w:p>
            <w:r>
              <w:rPr>
                <w:sz w:val="18"/>
              </w:rPr>
              <w:t>27.0</w:t>
            </w:r>
          </w:p>
        </w:tc>
        <w:tc>
          <w:tcPr>
            <w:tcW w:type="dxa" w:w="1200"/>
          </w:tcPr>
          <w:p>
            <w:r>
              <w:rPr>
                <w:sz w:val="18"/>
              </w:rPr>
              <w:t>Drop</w:t>
            </w:r>
          </w:p>
        </w:tc>
        <w:tc>
          <w:tcPr>
            <w:tcW w:type="dxa" w:w="5700"/>
          </w:tcPr>
          <w:p>
            <w:r>
              <w:rPr>
                <w:sz w:val="18"/>
              </w:rPr>
              <w:t>$419.3M cash against a guided $85-100M FY2026 burn (multi-year runway), debt-free balance sheet; no going concern found.</w:t>
            </w:r>
          </w:p>
        </w:tc>
      </w:tr>
      <w:tr>
        <w:tc>
          <w:tcPr>
            <w:tcW w:type="dxa" w:w="900"/>
          </w:tcPr>
          <w:p>
            <w:r>
              <w:rPr>
                <w:sz w:val="18"/>
              </w:rPr>
              <w:t>Distress</w:t>
            </w:r>
          </w:p>
        </w:tc>
        <w:tc>
          <w:tcPr>
            <w:tcW w:type="dxa" w:w="900"/>
          </w:tcPr>
          <w:p>
            <w:r>
              <w:rPr>
                <w:b/>
                <w:sz w:val="18"/>
              </w:rPr>
              <w:t>RR</w:t>
            </w:r>
          </w:p>
        </w:tc>
        <w:tc>
          <w:tcPr>
            <w:tcW w:type="dxa" w:w="900"/>
          </w:tcPr>
          <w:p>
            <w:r>
              <w:rPr>
                <w:sz w:val="18"/>
              </w:rPr>
              <w:t>27.0</w:t>
            </w:r>
          </w:p>
        </w:tc>
        <w:tc>
          <w:tcPr>
            <w:tcW w:type="dxa" w:w="1200"/>
          </w:tcPr>
          <w:p>
            <w:r>
              <w:rPr>
                <w:sz w:val="18"/>
              </w:rPr>
              <w:t>Drop</w:t>
            </w:r>
          </w:p>
        </w:tc>
        <w:tc>
          <w:tcPr>
            <w:tcW w:type="dxa" w:w="5700"/>
          </w:tcPr>
          <w:p>
            <w:r>
              <w:rPr>
                <w:sz w:val="18"/>
              </w:rPr>
              <w:t>Enormous net cash position (+$327.9M) after a January 2026 private placement; the Nasdaq compliance issues found are filing/administrative in nature, not capital-need-driven.</w:t>
            </w:r>
          </w:p>
        </w:tc>
      </w:tr>
      <w:tr>
        <w:tc>
          <w:tcPr>
            <w:tcW w:type="dxa" w:w="900"/>
          </w:tcPr>
          <w:p>
            <w:r>
              <w:rPr>
                <w:sz w:val="18"/>
              </w:rPr>
              <w:t>Distress</w:t>
            </w:r>
          </w:p>
        </w:tc>
        <w:tc>
          <w:tcPr>
            <w:tcW w:type="dxa" w:w="900"/>
          </w:tcPr>
          <w:p>
            <w:r>
              <w:rPr>
                <w:b/>
                <w:sz w:val="18"/>
              </w:rPr>
              <w:t>QUBT</w:t>
            </w:r>
          </w:p>
        </w:tc>
        <w:tc>
          <w:tcPr>
            <w:tcW w:type="dxa" w:w="900"/>
          </w:tcPr>
          <w:p>
            <w:r>
              <w:rPr>
                <w:sz w:val="18"/>
              </w:rPr>
              <w:t>27.0</w:t>
            </w:r>
          </w:p>
        </w:tc>
        <w:tc>
          <w:tcPr>
            <w:tcW w:type="dxa" w:w="1200"/>
          </w:tcPr>
          <w:p>
            <w:r>
              <w:rPr>
                <w:sz w:val="18"/>
              </w:rPr>
              <w:t>Drop</w:t>
            </w:r>
          </w:p>
        </w:tc>
        <w:tc>
          <w:tcPr>
            <w:tcW w:type="dxa" w:w="5700"/>
          </w:tcPr>
          <w:p>
            <w:r>
              <w:rPr>
                <w:sz w:val="18"/>
              </w:rPr>
              <w:t>$1.3B of cash and investments against roughly $40-50M of quarterly burn; no going concern, no genuine capital need despite the price decline.</w:t>
            </w:r>
          </w:p>
        </w:tc>
      </w:tr>
      <w:tr>
        <w:tc>
          <w:tcPr>
            <w:tcW w:type="dxa" w:w="900"/>
          </w:tcPr>
          <w:p>
            <w:r>
              <w:rPr>
                <w:sz w:val="18"/>
              </w:rPr>
              <w:t>Distress</w:t>
            </w:r>
          </w:p>
        </w:tc>
        <w:tc>
          <w:tcPr>
            <w:tcW w:type="dxa" w:w="900"/>
          </w:tcPr>
          <w:p>
            <w:r>
              <w:rPr>
                <w:b/>
                <w:sz w:val="18"/>
              </w:rPr>
              <w:t>SRG</w:t>
            </w:r>
          </w:p>
        </w:tc>
        <w:tc>
          <w:tcPr>
            <w:tcW w:type="dxa" w:w="900"/>
          </w:tcPr>
          <w:p>
            <w:r>
              <w:rPr>
                <w:sz w:val="18"/>
              </w:rPr>
              <w:t>26.5</w:t>
            </w:r>
          </w:p>
        </w:tc>
        <w:tc>
          <w:tcPr>
            <w:tcW w:type="dxa" w:w="1200"/>
          </w:tcPr>
          <w:p>
            <w:r>
              <w:rPr>
                <w:sz w:val="18"/>
              </w:rPr>
              <w:t>Drop</w:t>
            </w:r>
          </w:p>
        </w:tc>
        <w:tc>
          <w:tcPr>
            <w:tcW w:type="dxa" w:w="5700"/>
          </w:tcPr>
          <w:p>
            <w:r>
              <w:rPr>
                <w:sz w:val="18"/>
              </w:rPr>
              <w:t>Went private and was delisted from the NYSE in March 2025 following a go-private merger; no longer a viable public equity-raise candidate (data-quality flag for the screen).</w:t>
            </w:r>
          </w:p>
        </w:tc>
      </w:tr>
      <w:tr>
        <w:tc>
          <w:tcPr>
            <w:tcW w:type="dxa" w:w="900"/>
          </w:tcPr>
          <w:p>
            <w:r>
              <w:rPr>
                <w:sz w:val="18"/>
              </w:rPr>
              <w:t>Distress</w:t>
            </w:r>
          </w:p>
        </w:tc>
        <w:tc>
          <w:tcPr>
            <w:tcW w:type="dxa" w:w="900"/>
          </w:tcPr>
          <w:p>
            <w:r>
              <w:rPr>
                <w:b/>
                <w:sz w:val="18"/>
              </w:rPr>
              <w:t>GLIBA</w:t>
            </w:r>
          </w:p>
        </w:tc>
        <w:tc>
          <w:tcPr>
            <w:tcW w:type="dxa" w:w="900"/>
          </w:tcPr>
          <w:p>
            <w:r>
              <w:rPr>
                <w:sz w:val="18"/>
              </w:rPr>
              <w:t>26.5</w:t>
            </w:r>
          </w:p>
        </w:tc>
        <w:tc>
          <w:tcPr>
            <w:tcW w:type="dxa" w:w="1200"/>
          </w:tcPr>
          <w:p>
            <w:r>
              <w:rPr>
                <w:sz w:val="18"/>
              </w:rPr>
              <w:t>Drop</w:t>
            </w:r>
          </w:p>
        </w:tc>
        <w:tc>
          <w:tcPr>
            <w:tcW w:type="dxa" w:w="5700"/>
          </w:tcPr>
          <w:p>
            <w:r>
              <w:rPr>
                <w:sz w:val="18"/>
              </w:rPr>
              <w:t>Initiating a new shareholder dividend (~$60M/year starting Dec 2026), with an ample undrawn revolver ($447M) and covenant compliance; a self-funding, dividend-initiating company, not a distressed one.</w:t>
            </w:r>
          </w:p>
        </w:tc>
      </w:tr>
      <w:tr>
        <w:tc>
          <w:tcPr>
            <w:tcW w:type="dxa" w:w="900"/>
          </w:tcPr>
          <w:p>
            <w:r>
              <w:rPr>
                <w:sz w:val="18"/>
              </w:rPr>
              <w:t>Distress</w:t>
            </w:r>
          </w:p>
        </w:tc>
        <w:tc>
          <w:tcPr>
            <w:tcW w:type="dxa" w:w="900"/>
          </w:tcPr>
          <w:p>
            <w:r>
              <w:rPr>
                <w:b/>
                <w:sz w:val="18"/>
              </w:rPr>
              <w:t>RPD</w:t>
            </w:r>
          </w:p>
        </w:tc>
        <w:tc>
          <w:tcPr>
            <w:tcW w:type="dxa" w:w="900"/>
          </w:tcPr>
          <w:p>
            <w:r>
              <w:rPr>
                <w:sz w:val="18"/>
              </w:rPr>
              <w:t>25.2</w:t>
            </w:r>
          </w:p>
        </w:tc>
        <w:tc>
          <w:tcPr>
            <w:tcW w:type="dxa" w:w="1200"/>
          </w:tcPr>
          <w:p>
            <w:r>
              <w:rPr>
                <w:sz w:val="18"/>
              </w:rPr>
              <w:t>Drop</w:t>
            </w:r>
          </w:p>
        </w:tc>
        <w:tc>
          <w:tcPr>
            <w:tcW w:type="dxa" w:w="5700"/>
          </w:tcPr>
          <w:p>
            <w:r>
              <w:rPr>
                <w:sz w:val="18"/>
              </w:rPr>
              <w:t>$702.6M cash comfortably exceeds the $600M convertible note due March 2027; positive free cash flow, and management states it is well-positioned to repay from cash and FCF.</w:t>
            </w:r>
          </w:p>
        </w:tc>
      </w:tr>
      <w:tr>
        <w:tc>
          <w:tcPr>
            <w:tcW w:type="dxa" w:w="900"/>
          </w:tcPr>
          <w:p>
            <w:r>
              <w:rPr>
                <w:sz w:val="18"/>
              </w:rPr>
              <w:t>Distress</w:t>
            </w:r>
          </w:p>
        </w:tc>
        <w:tc>
          <w:tcPr>
            <w:tcW w:type="dxa" w:w="900"/>
          </w:tcPr>
          <w:p>
            <w:r>
              <w:rPr>
                <w:b/>
                <w:sz w:val="18"/>
              </w:rPr>
              <w:t>PRTH</w:t>
            </w:r>
          </w:p>
        </w:tc>
        <w:tc>
          <w:tcPr>
            <w:tcW w:type="dxa" w:w="900"/>
          </w:tcPr>
          <w:p>
            <w:r>
              <w:rPr>
                <w:sz w:val="18"/>
              </w:rPr>
              <w:t>25.2</w:t>
            </w:r>
          </w:p>
        </w:tc>
        <w:tc>
          <w:tcPr>
            <w:tcW w:type="dxa" w:w="1200"/>
          </w:tcPr>
          <w:p>
            <w:r>
              <w:rPr>
                <w:sz w:val="18"/>
              </w:rPr>
              <w:t>Drop</w:t>
            </w:r>
          </w:p>
        </w:tc>
        <w:tc>
          <w:tcPr>
            <w:tcW w:type="dxa" w:w="5700"/>
          </w:tcPr>
          <w:p>
            <w:r>
              <w:rPr>
                <w:sz w:val="18"/>
              </w:rPr>
              <w:t>Profitable (Q2 EPS $0.12) with ample liquidity and debt capacity; its Nasdaq minimum-bid-price issue is being addressed via a contemplated reverse split, not a capital raise.</w:t>
            </w:r>
          </w:p>
        </w:tc>
      </w:tr>
      <w:tr>
        <w:tc>
          <w:tcPr>
            <w:tcW w:type="dxa" w:w="900"/>
          </w:tcPr>
          <w:p>
            <w:r>
              <w:rPr>
                <w:sz w:val="18"/>
              </w:rPr>
              <w:t>Distress</w:t>
            </w:r>
          </w:p>
        </w:tc>
        <w:tc>
          <w:tcPr>
            <w:tcW w:type="dxa" w:w="900"/>
          </w:tcPr>
          <w:p>
            <w:r>
              <w:rPr>
                <w:b/>
                <w:sz w:val="18"/>
              </w:rPr>
              <w:t>PAR</w:t>
            </w:r>
          </w:p>
        </w:tc>
        <w:tc>
          <w:tcPr>
            <w:tcW w:type="dxa" w:w="900"/>
          </w:tcPr>
          <w:p>
            <w:r>
              <w:rPr>
                <w:sz w:val="18"/>
              </w:rPr>
              <w:t>25.2</w:t>
            </w:r>
          </w:p>
        </w:tc>
        <w:tc>
          <w:tcPr>
            <w:tcW w:type="dxa" w:w="1200"/>
          </w:tcPr>
          <w:p>
            <w:r>
              <w:rPr>
                <w:sz w:val="18"/>
              </w:rPr>
              <w:t>Drop</w:t>
            </w:r>
          </w:p>
        </w:tc>
        <w:tc>
          <w:tcPr>
            <w:tcW w:type="dxa" w:w="5700"/>
          </w:tcPr>
          <w:p>
            <w:r>
              <w:rPr>
                <w:sz w:val="18"/>
              </w:rPr>
              <w:t>Roughly 35 months of cash runway at the current burn rate with no going-concern or delisting signal found; debt-term detail was incomplete but no acute near-term catalyst was identified.</w:t>
            </w:r>
          </w:p>
        </w:tc>
      </w:tr>
      <w:tr>
        <w:tc>
          <w:tcPr>
            <w:tcW w:type="dxa" w:w="900"/>
          </w:tcPr>
          <w:p>
            <w:r>
              <w:rPr>
                <w:sz w:val="18"/>
              </w:rPr>
              <w:t>Distress</w:t>
            </w:r>
          </w:p>
        </w:tc>
        <w:tc>
          <w:tcPr>
            <w:tcW w:type="dxa" w:w="900"/>
          </w:tcPr>
          <w:p>
            <w:r>
              <w:rPr>
                <w:b/>
                <w:sz w:val="18"/>
              </w:rPr>
              <w:t>GTM</w:t>
            </w:r>
          </w:p>
        </w:tc>
        <w:tc>
          <w:tcPr>
            <w:tcW w:type="dxa" w:w="900"/>
          </w:tcPr>
          <w:p>
            <w:r>
              <w:rPr>
                <w:sz w:val="18"/>
              </w:rPr>
              <w:t>25.2</w:t>
            </w:r>
          </w:p>
        </w:tc>
        <w:tc>
          <w:tcPr>
            <w:tcW w:type="dxa" w:w="1200"/>
          </w:tcPr>
          <w:p>
            <w:r>
              <w:rPr>
                <w:sz w:val="18"/>
              </w:rPr>
              <w:t>Drop</w:t>
            </w:r>
          </w:p>
        </w:tc>
        <w:tc>
          <w:tcPr>
            <w:tcW w:type="dxa" w:w="5700"/>
          </w:tcPr>
          <w:p>
            <w:r>
              <w:rPr>
                <w:sz w:val="18"/>
              </w:rPr>
              <w:t>Strong positive unlevered free cash flow ($107M in Q2) and an active share-buyback program under way -- the opposite of a capital need; well-laddered debt maturities, no going concern.</w:t>
            </w:r>
          </w:p>
        </w:tc>
      </w:tr>
      <w:tr>
        <w:tc>
          <w:tcPr>
            <w:tcW w:type="dxa" w:w="900"/>
          </w:tcPr>
          <w:p>
            <w:r>
              <w:rPr>
                <w:sz w:val="18"/>
              </w:rPr>
              <w:t>Distress</w:t>
            </w:r>
          </w:p>
        </w:tc>
        <w:tc>
          <w:tcPr>
            <w:tcW w:type="dxa" w:w="900"/>
          </w:tcPr>
          <w:p>
            <w:r>
              <w:rPr>
                <w:b/>
                <w:sz w:val="18"/>
              </w:rPr>
              <w:t>DOMO</w:t>
            </w:r>
          </w:p>
        </w:tc>
        <w:tc>
          <w:tcPr>
            <w:tcW w:type="dxa" w:w="900"/>
          </w:tcPr>
          <w:p>
            <w:r>
              <w:rPr>
                <w:sz w:val="18"/>
              </w:rPr>
              <w:t>25.2</w:t>
            </w:r>
          </w:p>
        </w:tc>
        <w:tc>
          <w:tcPr>
            <w:tcW w:type="dxa" w:w="1200"/>
          </w:tcPr>
          <w:p>
            <w:r>
              <w:rPr>
                <w:sz w:val="18"/>
              </w:rPr>
              <w:t>Not researched</w:t>
            </w:r>
          </w:p>
        </w:tc>
        <w:tc>
          <w:tcPr>
            <w:tcW w:type="dxa" w:w="5700"/>
          </w:tcPr>
          <w:p>
            <w:r>
              <w:rPr>
                <w:sz w:val="18"/>
              </w:rPr>
              <w:t>Web search budget was exhausted before this ticker could be verified against current filings; no disposition reached this run — recommend a standalone follow-up.</w:t>
            </w:r>
          </w:p>
        </w:tc>
      </w:tr>
      <w:tr>
        <w:tc>
          <w:tcPr>
            <w:tcW w:type="dxa" w:w="900"/>
          </w:tcPr>
          <w:p>
            <w:r>
              <w:rPr>
                <w:sz w:val="18"/>
              </w:rPr>
              <w:t>Distress</w:t>
            </w:r>
          </w:p>
        </w:tc>
        <w:tc>
          <w:tcPr>
            <w:tcW w:type="dxa" w:w="900"/>
          </w:tcPr>
          <w:p>
            <w:r>
              <w:rPr>
                <w:b/>
                <w:sz w:val="18"/>
              </w:rPr>
              <w:t>BLKB</w:t>
            </w:r>
          </w:p>
        </w:tc>
        <w:tc>
          <w:tcPr>
            <w:tcW w:type="dxa" w:w="900"/>
          </w:tcPr>
          <w:p>
            <w:r>
              <w:rPr>
                <w:sz w:val="18"/>
              </w:rPr>
              <w:t>25.2</w:t>
            </w:r>
          </w:p>
        </w:tc>
        <w:tc>
          <w:tcPr>
            <w:tcW w:type="dxa" w:w="1200"/>
          </w:tcPr>
          <w:p>
            <w:r>
              <w:rPr>
                <w:sz w:val="18"/>
              </w:rPr>
              <w:t>Not researched</w:t>
            </w:r>
          </w:p>
        </w:tc>
        <w:tc>
          <w:tcPr>
            <w:tcW w:type="dxa" w:w="5700"/>
          </w:tcPr>
          <w:p>
            <w:r>
              <w:rPr>
                <w:sz w:val="18"/>
              </w:rPr>
              <w:t>Web search budget was exhausted before this ticker could be verified against current filings; no disposition reached this run — recommend a standalone follow-up.</w:t>
            </w:r>
          </w:p>
        </w:tc>
      </w:tr>
      <w:tr>
        <w:tc>
          <w:tcPr>
            <w:tcW w:type="dxa" w:w="900"/>
          </w:tcPr>
          <w:p>
            <w:r>
              <w:rPr>
                <w:sz w:val="18"/>
              </w:rPr>
              <w:t>Distress</w:t>
            </w:r>
          </w:p>
        </w:tc>
        <w:tc>
          <w:tcPr>
            <w:tcW w:type="dxa" w:w="900"/>
          </w:tcPr>
          <w:p>
            <w:r>
              <w:rPr>
                <w:b/>
                <w:sz w:val="18"/>
              </w:rPr>
              <w:t>INV</w:t>
            </w:r>
          </w:p>
        </w:tc>
        <w:tc>
          <w:tcPr>
            <w:tcW w:type="dxa" w:w="900"/>
          </w:tcPr>
          <w:p>
            <w:r>
              <w:rPr>
                <w:sz w:val="18"/>
              </w:rPr>
              <w:t>49.5</w:t>
            </w:r>
          </w:p>
        </w:tc>
        <w:tc>
          <w:tcPr>
            <w:tcW w:type="dxa" w:w="1200"/>
          </w:tcPr>
          <w:p>
            <w:r>
              <w:rPr>
                <w:sz w:val="18"/>
              </w:rPr>
              <w:t>Not researched</w:t>
            </w:r>
          </w:p>
        </w:tc>
        <w:tc>
          <w:tcPr>
            <w:tcW w:type="dxa" w:w="5700"/>
          </w:tcPr>
          <w:p>
            <w:r>
              <w:rPr>
                <w:sz w:val="18"/>
              </w:rPr>
              <w:t>Carried over from Batch 1, which also could not reach it before its own budget ran out. This run's web-search budget was again exhausted before INV's turn; no disposition reached this run — recommend a standalone follow-up (second consecutive miss).</w:t>
            </w:r>
          </w:p>
        </w:tc>
      </w:tr>
      <w:tr>
        <w:tc>
          <w:tcPr>
            <w:tcW w:type="dxa" w:w="900"/>
          </w:tcPr>
          <w:p>
            <w:r>
              <w:rPr>
                <w:sz w:val="18"/>
              </w:rPr>
              <w:t>Distress</w:t>
            </w:r>
          </w:p>
        </w:tc>
        <w:tc>
          <w:tcPr>
            <w:tcW w:type="dxa" w:w="900"/>
          </w:tcPr>
          <w:p>
            <w:r>
              <w:rPr>
                <w:b/>
                <w:sz w:val="18"/>
              </w:rPr>
              <w:t>INDP</w:t>
            </w:r>
          </w:p>
        </w:tc>
        <w:tc>
          <w:tcPr>
            <w:tcW w:type="dxa" w:w="900"/>
          </w:tcPr>
          <w:p>
            <w:r>
              <w:rPr>
                <w:sz w:val="18"/>
              </w:rPr>
              <w:t>47.5</w:t>
            </w:r>
          </w:p>
        </w:tc>
        <w:tc>
          <w:tcPr>
            <w:tcW w:type="dxa" w:w="1200"/>
          </w:tcPr>
          <w:p>
            <w:r>
              <w:rPr>
                <w:sz w:val="18"/>
              </w:rPr>
              <w:t>Not researched</w:t>
            </w:r>
          </w:p>
        </w:tc>
        <w:tc>
          <w:tcPr>
            <w:tcW w:type="dxa" w:w="5700"/>
          </w:tcPr>
          <w:p>
            <w:r>
              <w:rPr>
                <w:sz w:val="18"/>
              </w:rPr>
              <w:t>Carried over from Batch 1, which also could not reach it before its own budget ran out. This run's web-search budget was again exhausted before INDP's turn; no disposition reached this run — recommend a standalone follow-up (second consecutive miss).</w:t>
            </w:r>
          </w:p>
        </w:tc>
      </w:tr>
      <w:tr>
        <w:tc>
          <w:tcPr>
            <w:tcW w:type="dxa" w:w="900"/>
          </w:tcPr>
          <w:p>
            <w:r>
              <w:rPr>
                <w:sz w:val="18"/>
              </w:rPr>
              <w:t>Distress</w:t>
            </w:r>
          </w:p>
        </w:tc>
        <w:tc>
          <w:tcPr>
            <w:tcW w:type="dxa" w:w="900"/>
          </w:tcPr>
          <w:p>
            <w:r>
              <w:rPr>
                <w:b/>
                <w:sz w:val="18"/>
              </w:rPr>
              <w:t>WHR</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VTS</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TRAK</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PRGO</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NCMI</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MGPI</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LUCK</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KMPR</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FMC</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EMBC</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CCOI</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BRLT</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ALTG</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but this run could not independently verify it is still current — recommend a standalone follow-up.</w:t>
            </w:r>
          </w:p>
        </w:tc>
      </w:tr>
      <w:tr>
        <w:tc>
          <w:tcPr>
            <w:tcW w:type="dxa" w:w="900"/>
          </w:tcPr>
          <w:p>
            <w:r>
              <w:rPr>
                <w:sz w:val="18"/>
              </w:rPr>
              <w:t>Distress</w:t>
            </w:r>
          </w:p>
        </w:tc>
        <w:tc>
          <w:tcPr>
            <w:tcW w:type="dxa" w:w="900"/>
          </w:tcPr>
          <w:p>
            <w:r>
              <w:rPr>
                <w:b/>
                <w:sz w:val="18"/>
              </w:rPr>
              <w:t>ALIT</w:t>
            </w:r>
          </w:p>
        </w:tc>
        <w:tc>
          <w:tcPr>
            <w:tcW w:type="dxa" w:w="900"/>
          </w:tcPr>
          <w:p>
            <w:r>
              <w:rPr>
                <w:sz w:val="18"/>
              </w:rPr>
              <w:t>25.0</w:t>
            </w:r>
          </w:p>
        </w:tc>
        <w:tc>
          <w:tcPr>
            <w:tcW w:type="dxa" w:w="1200"/>
          </w:tcPr>
          <w:p>
            <w:r>
              <w:rPr>
                <w:sz w:val="18"/>
              </w:rPr>
              <w:t>Not researched</w:t>
            </w:r>
          </w:p>
        </w:tc>
        <w:tc>
          <w:tcPr>
            <w:tcW w:type="dxa" w:w="5700"/>
          </w:tcPr>
          <w:p>
            <w:r>
              <w:rPr>
                <w:sz w:val="18"/>
              </w:rPr>
              <w:t>Web search budget was exhausted before this ticker's turn. Screen already flags profitability_override=True (a strong prior toward Drop) despite an unusually severe -81.4% 1yr decline; this run could not independently verify it is still current — recommend a standalone follow-up.</w:t>
            </w:r>
          </w:p>
        </w:tc>
      </w:tr>
    </w:tbl>
    <w:p>
      <w:pPr>
        <w:pStyle w:val="Heading1"/>
        <w:spacing w:after="160" w:before="300"/>
      </w:pPr>
      <w:r>
        <w:t xml:space="preserve">Full Disposition — Batch 2 (rescheduled, ~1:15PM ET 8/31): 35 distress names, ranks ~41-75 (trimmed from the original 50-name Batch 2 scope)</w:t>
      </w:r>
    </w:p>
    <w:p>
      <w:r>
        <w:rPr>
          <w:color w:val="444444"/>
          <w:sz w:val="21"/>
        </w:rPr>
        <w:t xml:space="preserve">This batch was originally scheduled for 1:15AM ET 8/31 but never committed any results (flagged above by Batch 3); it fired again roughly 5 hours after the original schedule and researched all 35 assigned distress-screen names (EXOD through METC) without hitting a search-budget limit. Two Keep names were promoted to one-pagers.</w:t>
      </w:r>
    </w:p>
    <w:tbl>
      <w:tblPr>
        <w:tblW w:type="auto" w:w="0"/>
        <w:tblLook w:firstColumn="1" w:firstRow="1" w:lastColumn="0" w:lastRow="0" w:noHBand="0" w:noVBand="1" w:val="04A0"/>
      </w:tblPr>
      <w:tblGrid>
        <w:gridCol w:w="2016"/>
        <w:gridCol w:w="2016"/>
        <w:gridCol w:w="2016"/>
        <w:gridCol w:w="2016"/>
        <w:gridCol w:w="2016"/>
      </w:tblGrid>
      <w:tr>
        <w:tc>
          <w:tcPr>
            <w:tcW w:type="dxa" w:w="900"/>
          </w:tcPr>
          <w:p>
            <w:r>
              <w:rPr>
                <w:b/>
                <w:sz w:val="18"/>
              </w:rPr>
              <w:t>Screen</w:t>
            </w:r>
          </w:p>
        </w:tc>
        <w:tc>
          <w:tcPr>
            <w:tcW w:type="dxa" w:w="900"/>
          </w:tcPr>
          <w:p>
            <w:r>
              <w:rPr>
                <w:b/>
                <w:sz w:val="18"/>
              </w:rPr>
              <w:t>Ticker</w:t>
            </w:r>
          </w:p>
        </w:tc>
        <w:tc>
          <w:tcPr>
            <w:tcW w:type="dxa" w:w="900"/>
          </w:tcPr>
          <w:p>
            <w:r>
              <w:rPr>
                <w:b/>
                <w:sz w:val="18"/>
              </w:rPr>
              <w:t>Score</w:t>
            </w:r>
          </w:p>
        </w:tc>
        <w:tc>
          <w:tcPr>
            <w:tcW w:type="dxa" w:w="1200"/>
          </w:tcPr>
          <w:p>
            <w:r>
              <w:rPr>
                <w:b/>
                <w:sz w:val="18"/>
              </w:rPr>
              <w:t>Disposition</w:t>
            </w:r>
          </w:p>
        </w:tc>
        <w:tc>
          <w:tcPr>
            <w:tcW w:type="dxa" w:w="5700"/>
          </w:tcPr>
          <w:p>
            <w:r>
              <w:rPr>
                <w:b/>
                <w:sz w:val="18"/>
              </w:rPr>
              <w:t>Reason</w:t>
            </w:r>
          </w:p>
        </w:tc>
      </w:tr>
      <w:tr>
        <w:tc>
          <w:tcPr>
            <w:tcW w:type="dxa" w:w="900"/>
          </w:tcPr>
          <w:p>
            <w:r>
              <w:rPr>
                <w:sz w:val="18"/>
              </w:rPr>
              <w:t xml:space="preserve">Distress</w:t>
            </w:r>
          </w:p>
        </w:tc>
        <w:tc>
          <w:tcPr>
            <w:tcW w:type="dxa" w:w="900"/>
          </w:tcPr>
          <w:p>
            <w:r>
              <w:rPr>
                <w:b/>
                <w:sz w:val="18"/>
              </w:rPr>
              <w:t xml:space="preserve">EXOD</w:t>
            </w:r>
          </w:p>
        </w:tc>
        <w:tc>
          <w:tcPr>
            <w:tcW w:type="dxa" w:w="900"/>
          </w:tcPr>
          <w:p>
            <w:r>
              <w:rPr>
                <w:sz w:val="18"/>
              </w:rPr>
              <w:t xml:space="preserve">42.2</w:t>
            </w:r>
          </w:p>
        </w:tc>
        <w:tc>
          <w:tcPr>
            <w:tcW w:type="dxa" w:w="1200"/>
          </w:tcPr>
          <w:p>
            <w:r>
              <w:rPr>
                <w:sz w:val="18"/>
              </w:rPr>
              <w:t xml:space="preserve">Drop</w:t>
            </w:r>
          </w:p>
        </w:tc>
        <w:tc>
          <w:tcPr>
            <w:tcW w:type="dxa" w:w="5700"/>
          </w:tcPr>
          <w:p>
            <w:r>
              <w:rPr>
                <w:sz w:val="18"/>
              </w:rPr>
              <w:t xml:space="preserve">Ample cash ($72.9M cash plus $48.2M digital assets, ~1.6yr runway) and narrowing quarterly losses ($32.1M to $18.6M), with a July 2026 restructuring (25% workforce cut) already extending runway without equity; no going-concern or delisting signal found.</w:t>
            </w:r>
          </w:p>
        </w:tc>
      </w:tr>
      <w:tr>
        <w:tc>
          <w:tcPr>
            <w:tcW w:type="dxa" w:w="900"/>
          </w:tcPr>
          <w:p>
            <w:r>
              <w:rPr>
                <w:sz w:val="18"/>
              </w:rPr>
              <w:t xml:space="preserve">Distress</w:t>
            </w:r>
          </w:p>
        </w:tc>
        <w:tc>
          <w:tcPr>
            <w:tcW w:type="dxa" w:w="900"/>
          </w:tcPr>
          <w:p>
            <w:r>
              <w:rPr>
                <w:b/>
                <w:sz w:val="18"/>
              </w:rPr>
              <w:t xml:space="preserve">EBS</w:t>
            </w:r>
          </w:p>
        </w:tc>
        <w:tc>
          <w:tcPr>
            <w:tcW w:type="dxa" w:w="900"/>
          </w:tcPr>
          <w:p>
            <w:r>
              <w:rPr>
                <w:sz w:val="18"/>
              </w:rPr>
              <w:t xml:space="preserve">42.2</w:t>
            </w:r>
          </w:p>
        </w:tc>
        <w:tc>
          <w:tcPr>
            <w:tcW w:type="dxa" w:w="1200"/>
          </w:tcPr>
          <w:p>
            <w:r>
              <w:rPr>
                <w:sz w:val="18"/>
              </w:rPr>
              <w:t xml:space="preserve">Drop</w:t>
            </w:r>
          </w:p>
        </w:tc>
        <w:tc>
          <w:tcPr>
            <w:tcW w:type="dxa" w:w="5700"/>
          </w:tcPr>
          <w:p>
            <w:r>
              <w:rPr>
                <w:sz w:val="18"/>
              </w:rPr>
              <w:t xml:space="preserve">Adjusted-EBITDA profitable (41% margin) and just refinanced $590M of debt out to 2031 (April 2026), cutting interest expense; a large Narcan impairment drove the GAAP headline loss but not a cash crisis.</w:t>
            </w:r>
          </w:p>
        </w:tc>
      </w:tr>
      <w:tr>
        <w:tc>
          <w:tcPr>
            <w:tcW w:type="dxa" w:w="900"/>
          </w:tcPr>
          <w:p>
            <w:r>
              <w:rPr>
                <w:sz w:val="18"/>
              </w:rPr>
              <w:t xml:space="preserve">Distress</w:t>
            </w:r>
          </w:p>
        </w:tc>
        <w:tc>
          <w:tcPr>
            <w:tcW w:type="dxa" w:w="900"/>
          </w:tcPr>
          <w:p>
            <w:r>
              <w:rPr>
                <w:b/>
                <w:sz w:val="18"/>
              </w:rPr>
              <w:t xml:space="preserve">CRMD</w:t>
            </w:r>
          </w:p>
        </w:tc>
        <w:tc>
          <w:tcPr>
            <w:tcW w:type="dxa" w:w="900"/>
          </w:tcPr>
          <w:p>
            <w:r>
              <w:rPr>
                <w:sz w:val="18"/>
              </w:rPr>
              <w:t xml:space="preserve">42.2</w:t>
            </w:r>
          </w:p>
        </w:tc>
        <w:tc>
          <w:tcPr>
            <w:tcW w:type="dxa" w:w="1200"/>
          </w:tcPr>
          <w:p>
            <w:r>
              <w:rPr>
                <w:sz w:val="18"/>
              </w:rPr>
              <w:t xml:space="preserve">Drop</w:t>
            </w:r>
          </w:p>
        </w:tc>
        <w:tc>
          <w:tcPr>
            <w:tcW w:type="dxa" w:w="5700"/>
          </w:tcPr>
          <w:p>
            <w:r>
              <w:rPr>
                <w:sz w:val="18"/>
              </w:rPr>
              <w:t xml:space="preserve">Cash more than doubled to $256.7M on strong positive operating cash flow ($128.6M for H1 2026) and raised revenue guidance; no going-concern or distress signal despite the price decline.</w:t>
            </w:r>
          </w:p>
        </w:tc>
      </w:tr>
      <w:tr>
        <w:tc>
          <w:tcPr>
            <w:tcW w:type="dxa" w:w="900"/>
          </w:tcPr>
          <w:p>
            <w:r>
              <w:rPr>
                <w:sz w:val="18"/>
              </w:rPr>
              <w:t xml:space="preserve">Distress</w:t>
            </w:r>
          </w:p>
        </w:tc>
        <w:tc>
          <w:tcPr>
            <w:tcW w:type="dxa" w:w="900"/>
          </w:tcPr>
          <w:p>
            <w:r>
              <w:rPr>
                <w:b/>
                <w:sz w:val="18"/>
              </w:rPr>
              <w:t xml:space="preserve">BNC</w:t>
            </w:r>
          </w:p>
        </w:tc>
        <w:tc>
          <w:tcPr>
            <w:tcW w:type="dxa" w:w="900"/>
          </w:tcPr>
          <w:p>
            <w:r>
              <w:rPr>
                <w:sz w:val="18"/>
              </w:rPr>
              <w:t xml:space="preserve">41.2</w:t>
            </w:r>
          </w:p>
        </w:tc>
        <w:tc>
          <w:tcPr>
            <w:tcW w:type="dxa" w:w="1200"/>
          </w:tcPr>
          <w:p>
            <w:r>
              <w:rPr>
                <w:sz w:val="18"/>
              </w:rPr>
              <w:t xml:space="preserve">Drop</w:t>
            </w:r>
          </w:p>
        </w:tc>
        <w:tc>
          <w:tcPr>
            <w:tcW w:type="dxa" w:w="5700"/>
          </w:tcPr>
          <w:p>
            <w:r>
              <w:rPr>
                <w:sz w:val="18"/>
              </w:rPr>
              <w:t xml:space="preserve">Zero debt and no going-concern language found; the live Nasdaq notice is for a late annual shareholder meeting (governance/procedural), not a price or liquidity issue a capital raise would fix, and current-period cash/burn data could not be verified.</w:t>
            </w:r>
          </w:p>
        </w:tc>
      </w:tr>
      <w:tr>
        <w:tc>
          <w:tcPr>
            <w:tcW w:type="dxa" w:w="900"/>
          </w:tcPr>
          <w:p>
            <w:r>
              <w:rPr>
                <w:sz w:val="18"/>
              </w:rPr>
              <w:t xml:space="preserve">Distress</w:t>
            </w:r>
          </w:p>
        </w:tc>
        <w:tc>
          <w:tcPr>
            <w:tcW w:type="dxa" w:w="900"/>
          </w:tcPr>
          <w:p>
            <w:r>
              <w:rPr>
                <w:b/>
                <w:sz w:val="18"/>
              </w:rPr>
              <w:t xml:space="preserve">AIRO</w:t>
            </w:r>
          </w:p>
        </w:tc>
        <w:tc>
          <w:tcPr>
            <w:tcW w:type="dxa" w:w="900"/>
          </w:tcPr>
          <w:p>
            <w:r>
              <w:rPr>
                <w:sz w:val="18"/>
              </w:rPr>
              <w:t xml:space="preserve">41.2</w:t>
            </w:r>
          </w:p>
        </w:tc>
        <w:tc>
          <w:tcPr>
            <w:tcW w:type="dxa" w:w="1200"/>
          </w:tcPr>
          <w:p>
            <w:r>
              <w:rPr>
                <w:sz w:val="18"/>
              </w:rPr>
              <w:t xml:space="preserve">Ambiguous</w:t>
            </w:r>
          </w:p>
        </w:tc>
        <w:tc>
          <w:tcPr>
            <w:tcW w:type="dxa" w:w="5700"/>
          </w:tcPr>
          <w:p>
            <w:r>
              <w:rPr>
                <w:sz w:val="18"/>
              </w:rPr>
              <w:t xml:space="preserve">Genuinely thin cash ($26M) against a $48.7M H1 operating outflow, but management states 12+ months of runway on a $150M defense backlog and recent Blue UAS wins; the growth story undercuts the urgency framing needed for a distress pitch.</w:t>
            </w:r>
          </w:p>
        </w:tc>
      </w:tr>
      <w:tr>
        <w:tc>
          <w:tcPr>
            <w:tcW w:type="dxa" w:w="900"/>
          </w:tcPr>
          <w:p>
            <w:r>
              <w:rPr>
                <w:sz w:val="18"/>
              </w:rPr>
              <w:t xml:space="preserve">Distress</w:t>
            </w:r>
          </w:p>
        </w:tc>
        <w:tc>
          <w:tcPr>
            <w:tcW w:type="dxa" w:w="900"/>
          </w:tcPr>
          <w:p>
            <w:r>
              <w:rPr>
                <w:b/>
                <w:sz w:val="18"/>
              </w:rPr>
              <w:t xml:space="preserve">TNYA</w:t>
            </w:r>
          </w:p>
        </w:tc>
        <w:tc>
          <w:tcPr>
            <w:tcW w:type="dxa" w:w="900"/>
          </w:tcPr>
          <w:p>
            <w:r>
              <w:rPr>
                <w:sz w:val="18"/>
              </w:rPr>
              <w:t xml:space="preserve">41.0</w:t>
            </w:r>
          </w:p>
        </w:tc>
        <w:tc>
          <w:tcPr>
            <w:tcW w:type="dxa" w:w="1200"/>
          </w:tcPr>
          <w:p>
            <w:r>
              <w:rPr>
                <w:sz w:val="18"/>
              </w:rPr>
              <w:t xml:space="preserve">Ambiguous</w:t>
            </w:r>
          </w:p>
        </w:tc>
        <w:tc>
          <w:tcPr>
            <w:tcW w:type="dxa" w:w="5700"/>
          </w:tcPr>
          <w:p>
            <w:r>
              <w:rPr>
                <w:sz w:val="18"/>
              </w:rPr>
              <w:t xml:space="preserve">A Nasdaq bid-price cure deadline (July 27, 2026) has reportedly passed with status unconfirmed, but $78.1M cash and a runway into H2 2027 plus a $60M private raise roughly 8 months ago complicate the urgency case.</w:t>
            </w:r>
          </w:p>
        </w:tc>
      </w:tr>
      <w:tr>
        <w:tc>
          <w:tcPr>
            <w:tcW w:type="dxa" w:w="900"/>
          </w:tcPr>
          <w:p>
            <w:r>
              <w:rPr>
                <w:sz w:val="18"/>
              </w:rPr>
              <w:t xml:space="preserve">Distress</w:t>
            </w:r>
          </w:p>
        </w:tc>
        <w:tc>
          <w:tcPr>
            <w:tcW w:type="dxa" w:w="900"/>
          </w:tcPr>
          <w:p>
            <w:r>
              <w:rPr>
                <w:b/>
                <w:sz w:val="18"/>
              </w:rPr>
              <w:t xml:space="preserve">LNSR</w:t>
            </w:r>
          </w:p>
        </w:tc>
        <w:tc>
          <w:tcPr>
            <w:tcW w:type="dxa" w:w="900"/>
          </w:tcPr>
          <w:p>
            <w:r>
              <w:rPr>
                <w:sz w:val="18"/>
              </w:rPr>
              <w:t xml:space="preserve">40.8</w:t>
            </w:r>
          </w:p>
        </w:tc>
        <w:tc>
          <w:tcPr>
            <w:tcW w:type="dxa" w:w="1200"/>
          </w:tcPr>
          <w:p>
            <w:r>
              <w:rPr>
                <w:sz w:val="18"/>
              </w:rPr>
              <w:t xml:space="preserve">Keep</w:t>
            </w:r>
          </w:p>
        </w:tc>
        <w:tc>
          <w:tcPr>
            <w:tcW w:type="dxa" w:w="5700"/>
          </w:tcPr>
          <w:p>
            <w:r>
              <w:rPr>
                <w:sz w:val="18"/>
              </w:rPr>
              <w:t xml:space="preserve">Cash fell to $13.6M against a core (non-GAAP-boosted) burn of ~$4.3M/quarter and zero debt capacity to bridge the gap; no recent raise, going-concern, or delisting signal, but the runway math is genuinely tight. One-pager written.</w:t>
            </w:r>
          </w:p>
        </w:tc>
      </w:tr>
      <w:tr>
        <w:tc>
          <w:tcPr>
            <w:tcW w:type="dxa" w:w="900"/>
          </w:tcPr>
          <w:p>
            <w:r>
              <w:rPr>
                <w:sz w:val="18"/>
              </w:rPr>
              <w:t xml:space="preserve">Distress</w:t>
            </w:r>
          </w:p>
        </w:tc>
        <w:tc>
          <w:tcPr>
            <w:tcW w:type="dxa" w:w="900"/>
          </w:tcPr>
          <w:p>
            <w:r>
              <w:rPr>
                <w:b/>
                <w:sz w:val="18"/>
              </w:rPr>
              <w:t xml:space="preserve">TNXP</w:t>
            </w:r>
          </w:p>
        </w:tc>
        <w:tc>
          <w:tcPr>
            <w:tcW w:type="dxa" w:w="900"/>
          </w:tcPr>
          <w:p>
            <w:r>
              <w:rPr>
                <w:sz w:val="18"/>
              </w:rPr>
              <w:t xml:space="preserve">39.5</w:t>
            </w:r>
          </w:p>
        </w:tc>
        <w:tc>
          <w:tcPr>
            <w:tcW w:type="dxa" w:w="1200"/>
          </w:tcPr>
          <w:p>
            <w:r>
              <w:rPr>
                <w:sz w:val="18"/>
              </w:rPr>
              <w:t xml:space="preserve">Drop</w:t>
            </w:r>
          </w:p>
        </w:tc>
        <w:tc>
          <w:tcPr>
            <w:tcW w:type="dxa" w:w="5700"/>
          </w:tcPr>
          <w:p>
            <w:r>
              <w:rPr>
                <w:sz w:val="18"/>
              </w:rPr>
              <w:t xml:space="preserve">Going-concern language is present but sits oddly against $176.2M of cash, and the company already raised $53.6M via ATM in H1 2026 with a $75M Lincoln Park facility still available; capital access is not the constraint.</w:t>
            </w:r>
          </w:p>
        </w:tc>
      </w:tr>
      <w:tr>
        <w:tc>
          <w:tcPr>
            <w:tcW w:type="dxa" w:w="900"/>
          </w:tcPr>
          <w:p>
            <w:r>
              <w:rPr>
                <w:sz w:val="18"/>
              </w:rPr>
              <w:t xml:space="preserve">Distress</w:t>
            </w:r>
          </w:p>
        </w:tc>
        <w:tc>
          <w:tcPr>
            <w:tcW w:type="dxa" w:w="900"/>
          </w:tcPr>
          <w:p>
            <w:r>
              <w:rPr>
                <w:b/>
                <w:sz w:val="18"/>
              </w:rPr>
              <w:t xml:space="preserve">NAKA</w:t>
            </w:r>
          </w:p>
        </w:tc>
        <w:tc>
          <w:tcPr>
            <w:tcW w:type="dxa" w:w="900"/>
          </w:tcPr>
          <w:p>
            <w:r>
              <w:rPr>
                <w:sz w:val="18"/>
              </w:rPr>
              <w:t xml:space="preserve">39.2</w:t>
            </w:r>
          </w:p>
        </w:tc>
        <w:tc>
          <w:tcPr>
            <w:tcW w:type="dxa" w:w="1200"/>
          </w:tcPr>
          <w:p>
            <w:r>
              <w:rPr>
                <w:sz w:val="18"/>
              </w:rPr>
              <w:t xml:space="preserve">Drop</w:t>
            </w:r>
          </w:p>
        </w:tc>
        <w:tc>
          <w:tcPr>
            <w:tcW w:type="dxa" w:w="5700"/>
          </w:tcPr>
          <w:p>
            <w:r>
              <w:rPr>
                <w:sz w:val="18"/>
              </w:rPr>
              <w:t xml:space="preserve">A $210M USDT loan matures December 2026, but it is collateralized against a ~$261.5M Bitcoin treasury and the company already resolved its delisting risk via a 1-for-40 reverse split; revealed preference is BTC-backed debt, not equity.</w:t>
            </w:r>
          </w:p>
        </w:tc>
      </w:tr>
      <w:tr>
        <w:tc>
          <w:tcPr>
            <w:tcW w:type="dxa" w:w="900"/>
          </w:tcPr>
          <w:p>
            <w:r>
              <w:rPr>
                <w:sz w:val="18"/>
              </w:rPr>
              <w:t xml:space="preserve">Distress</w:t>
            </w:r>
          </w:p>
        </w:tc>
        <w:tc>
          <w:tcPr>
            <w:tcW w:type="dxa" w:w="900"/>
          </w:tcPr>
          <w:p>
            <w:r>
              <w:rPr>
                <w:b/>
                <w:sz w:val="18"/>
              </w:rPr>
              <w:t xml:space="preserve">OPTU</w:t>
            </w:r>
          </w:p>
        </w:tc>
        <w:tc>
          <w:tcPr>
            <w:tcW w:type="dxa" w:w="900"/>
          </w:tcPr>
          <w:p>
            <w:r>
              <w:rPr>
                <w:sz w:val="18"/>
              </w:rPr>
              <w:t xml:space="preserve">38.5</w:t>
            </w:r>
          </w:p>
        </w:tc>
        <w:tc>
          <w:tcPr>
            <w:tcW w:type="dxa" w:w="1200"/>
          </w:tcPr>
          <w:p>
            <w:r>
              <w:rPr>
                <w:sz w:val="18"/>
              </w:rPr>
              <w:t xml:space="preserve">Keep</w:t>
            </w:r>
          </w:p>
        </w:tc>
        <w:tc>
          <w:tcPr>
            <w:tcW w:type="dxa" w:w="5700"/>
          </w:tcPr>
          <w:p>
            <w:r>
              <w:rPr>
                <w:sz w:val="18"/>
              </w:rPr>
              <w:t xml:space="preserve">Explicit going-concern language, a live NYSE bid-price delisting clock (cure to Feb 13, 2027), and a ~$6.3B 2027 debt maturity wall against only a $465M market cap; equity alone cannot fix the capital structure but every dollar raised before the deadlines converge helps. One-pager written.</w:t>
            </w:r>
          </w:p>
        </w:tc>
      </w:tr>
      <w:tr>
        <w:tc>
          <w:tcPr>
            <w:tcW w:type="dxa" w:w="900"/>
          </w:tcPr>
          <w:p>
            <w:r>
              <w:rPr>
                <w:sz w:val="18"/>
              </w:rPr>
              <w:t xml:space="preserve">Distress</w:t>
            </w:r>
          </w:p>
        </w:tc>
        <w:tc>
          <w:tcPr>
            <w:tcW w:type="dxa" w:w="900"/>
          </w:tcPr>
          <w:p>
            <w:r>
              <w:rPr>
                <w:b/>
                <w:sz w:val="18"/>
              </w:rPr>
              <w:t xml:space="preserve">FUN</w:t>
            </w:r>
          </w:p>
        </w:tc>
        <w:tc>
          <w:tcPr>
            <w:tcW w:type="dxa" w:w="900"/>
          </w:tcPr>
          <w:p>
            <w:r>
              <w:rPr>
                <w:sz w:val="18"/>
              </w:rPr>
              <w:t xml:space="preserve">38.5</w:t>
            </w:r>
          </w:p>
        </w:tc>
        <w:tc>
          <w:tcPr>
            <w:tcW w:type="dxa" w:w="1200"/>
          </w:tcPr>
          <w:p>
            <w:r>
              <w:rPr>
                <w:sz w:val="18"/>
              </w:rPr>
              <w:t xml:space="preserve">Ambiguous</w:t>
            </w:r>
          </w:p>
        </w:tc>
        <w:tc>
          <w:tcPr>
            <w:tcW w:type="dxa" w:w="5700"/>
          </w:tcPr>
          <w:p>
            <w:r>
              <w:rPr>
                <w:sz w:val="18"/>
              </w:rPr>
              <w:t xml:space="preserve">Highly levered (19.4x debt/equity, $5.5B total debt) with a widening net loss, but no going-concern or delisting signal was found and no specific near-term debt maturity was identified for this seasonal cash-generative business.</w:t>
            </w:r>
          </w:p>
        </w:tc>
      </w:tr>
      <w:tr>
        <w:tc>
          <w:tcPr>
            <w:tcW w:type="dxa" w:w="900"/>
          </w:tcPr>
          <w:p>
            <w:r>
              <w:rPr>
                <w:sz w:val="18"/>
              </w:rPr>
              <w:t xml:space="preserve">Distress</w:t>
            </w:r>
          </w:p>
        </w:tc>
        <w:tc>
          <w:tcPr>
            <w:tcW w:type="dxa" w:w="900"/>
          </w:tcPr>
          <w:p>
            <w:r>
              <w:rPr>
                <w:b/>
                <w:sz w:val="18"/>
              </w:rPr>
              <w:t xml:space="preserve">AVXL</w:t>
            </w:r>
          </w:p>
        </w:tc>
        <w:tc>
          <w:tcPr>
            <w:tcW w:type="dxa" w:w="900"/>
          </w:tcPr>
          <w:p>
            <w:r>
              <w:rPr>
                <w:sz w:val="18"/>
              </w:rPr>
              <w:t xml:space="preserve">38.5</w:t>
            </w:r>
          </w:p>
        </w:tc>
        <w:tc>
          <w:tcPr>
            <w:tcW w:type="dxa" w:w="1200"/>
          </w:tcPr>
          <w:p>
            <w:r>
              <w:rPr>
                <w:sz w:val="18"/>
              </w:rPr>
              <w:t xml:space="preserve">Drop</w:t>
            </w:r>
          </w:p>
        </w:tc>
        <w:tc>
          <w:tcPr>
            <w:tcW w:type="dxa" w:w="5700"/>
          </w:tcPr>
          <w:p>
            <w:r>
              <w:rPr>
                <w:sz w:val="18"/>
              </w:rPr>
              <w:t xml:space="preserve">Ample cash ($118-127M) with a management-guided runway into FY2028 via an existing ATM program; the Nasdaq notice found is an administrative late-filing issue, not a price-based delisting risk.</w:t>
            </w:r>
          </w:p>
        </w:tc>
      </w:tr>
      <w:tr>
        <w:tc>
          <w:tcPr>
            <w:tcW w:type="dxa" w:w="900"/>
          </w:tcPr>
          <w:p>
            <w:r>
              <w:rPr>
                <w:sz w:val="18"/>
              </w:rPr>
              <w:t xml:space="preserve">Distress</w:t>
            </w:r>
          </w:p>
        </w:tc>
        <w:tc>
          <w:tcPr>
            <w:tcW w:type="dxa" w:w="900"/>
          </w:tcPr>
          <w:p>
            <w:r>
              <w:rPr>
                <w:b/>
                <w:sz w:val="18"/>
              </w:rPr>
              <w:t xml:space="preserve">DNA</w:t>
            </w:r>
          </w:p>
        </w:tc>
        <w:tc>
          <w:tcPr>
            <w:tcW w:type="dxa" w:w="900"/>
          </w:tcPr>
          <w:p>
            <w:r>
              <w:rPr>
                <w:sz w:val="18"/>
              </w:rPr>
              <w:t xml:space="preserve">38.2</w:t>
            </w:r>
          </w:p>
        </w:tc>
        <w:tc>
          <w:tcPr>
            <w:tcW w:type="dxa" w:w="1200"/>
          </w:tcPr>
          <w:p>
            <w:r>
              <w:rPr>
                <w:sz w:val="18"/>
              </w:rPr>
              <w:t xml:space="preserve">Drop</w:t>
            </w:r>
          </w:p>
        </w:tc>
        <w:tc>
          <w:tcPr>
            <w:tcW w:type="dxa" w:w="5700"/>
          </w:tcPr>
          <w:p>
            <w:r>
              <w:rPr>
                <w:sz w:val="18"/>
              </w:rPr>
              <w:t xml:space="preserve">$302M cash against $125-150M of FY2026 guided burn (roughly two years of runway) with no debt; no current going-concern language or live delisting notice was confirmed.</w:t>
            </w:r>
          </w:p>
        </w:tc>
      </w:tr>
      <w:tr>
        <w:tc>
          <w:tcPr>
            <w:tcW w:type="dxa" w:w="900"/>
          </w:tcPr>
          <w:p>
            <w:r>
              <w:rPr>
                <w:sz w:val="18"/>
              </w:rPr>
              <w:t xml:space="preserve">Distress</w:t>
            </w:r>
          </w:p>
        </w:tc>
        <w:tc>
          <w:tcPr>
            <w:tcW w:type="dxa" w:w="900"/>
          </w:tcPr>
          <w:p>
            <w:r>
              <w:rPr>
                <w:b/>
                <w:sz w:val="18"/>
              </w:rPr>
              <w:t xml:space="preserve">ARDX</w:t>
            </w:r>
          </w:p>
        </w:tc>
        <w:tc>
          <w:tcPr>
            <w:tcW w:type="dxa" w:w="900"/>
          </w:tcPr>
          <w:p>
            <w:r>
              <w:rPr>
                <w:sz w:val="18"/>
              </w:rPr>
              <w:t xml:space="preserve">38.2</w:t>
            </w:r>
          </w:p>
        </w:tc>
        <w:tc>
          <w:tcPr>
            <w:tcW w:type="dxa" w:w="1200"/>
          </w:tcPr>
          <w:p>
            <w:r>
              <w:rPr>
                <w:sz w:val="18"/>
              </w:rPr>
              <w:t xml:space="preserve">Drop</w:t>
            </w:r>
          </w:p>
        </w:tc>
        <w:tc>
          <w:tcPr>
            <w:tcW w:type="dxa" w:w="5700"/>
          </w:tcPr>
          <w:p>
            <w:r>
              <w:rPr>
                <w:sz w:val="18"/>
              </w:rPr>
              <w:t xml:space="preserve">$281.8M of cash and investments with sharply narrowing losses on a path to 2027 profitability; the only recent registration found is a small $36M employee-stock-plan shelf, not a capital-need raise.</w:t>
            </w:r>
          </w:p>
        </w:tc>
      </w:tr>
      <w:tr>
        <w:tc>
          <w:tcPr>
            <w:tcW w:type="dxa" w:w="900"/>
          </w:tcPr>
          <w:p>
            <w:r>
              <w:rPr>
                <w:sz w:val="18"/>
              </w:rPr>
              <w:t xml:space="preserve">Distress</w:t>
            </w:r>
          </w:p>
        </w:tc>
        <w:tc>
          <w:tcPr>
            <w:tcW w:type="dxa" w:w="900"/>
          </w:tcPr>
          <w:p>
            <w:r>
              <w:rPr>
                <w:b/>
                <w:sz w:val="18"/>
              </w:rPr>
              <w:t xml:space="preserve">EIKN</w:t>
            </w:r>
          </w:p>
        </w:tc>
        <w:tc>
          <w:tcPr>
            <w:tcW w:type="dxa" w:w="900"/>
          </w:tcPr>
          <w:p>
            <w:r>
              <w:rPr>
                <w:sz w:val="18"/>
              </w:rPr>
              <w:t xml:space="preserve">38.0</w:t>
            </w:r>
          </w:p>
        </w:tc>
        <w:tc>
          <w:tcPr>
            <w:tcW w:type="dxa" w:w="1200"/>
          </w:tcPr>
          <w:p>
            <w:r>
              <w:rPr>
                <w:sz w:val="18"/>
              </w:rPr>
              <w:t xml:space="preserve">Drop</w:t>
            </w:r>
          </w:p>
        </w:tc>
        <w:tc>
          <w:tcPr>
            <w:tcW w:type="dxa" w:w="5700"/>
          </w:tcPr>
          <w:p>
            <w:r>
              <w:rPr>
                <w:sz w:val="18"/>
              </w:rPr>
              <w:t xml:space="preserve">Raised $348.1M in its February 2026 IPO, inside the 6-month lookback, leaving $596M of cash; the going-concern language found is pre-IPO S-1 boilerplate now moot.</w:t>
            </w:r>
          </w:p>
        </w:tc>
      </w:tr>
      <w:tr>
        <w:tc>
          <w:tcPr>
            <w:tcW w:type="dxa" w:w="900"/>
          </w:tcPr>
          <w:p>
            <w:r>
              <w:rPr>
                <w:sz w:val="18"/>
              </w:rPr>
              <w:t xml:space="preserve">Distress</w:t>
            </w:r>
          </w:p>
        </w:tc>
        <w:tc>
          <w:tcPr>
            <w:tcW w:type="dxa" w:w="900"/>
          </w:tcPr>
          <w:p>
            <w:r>
              <w:rPr>
                <w:b/>
                <w:sz w:val="18"/>
              </w:rPr>
              <w:t xml:space="preserve">AORT</w:t>
            </w:r>
          </w:p>
        </w:tc>
        <w:tc>
          <w:tcPr>
            <w:tcW w:type="dxa" w:w="900"/>
          </w:tcPr>
          <w:p>
            <w:r>
              <w:rPr>
                <w:sz w:val="18"/>
              </w:rPr>
              <w:t xml:space="preserve">38.0</w:t>
            </w:r>
          </w:p>
        </w:tc>
        <w:tc>
          <w:tcPr>
            <w:tcW w:type="dxa" w:w="1200"/>
          </w:tcPr>
          <w:p>
            <w:r>
              <w:rPr>
                <w:sz w:val="18"/>
              </w:rPr>
              <w:t xml:space="preserve">Drop</w:t>
            </w:r>
          </w:p>
        </w:tc>
        <w:tc>
          <w:tcPr>
            <w:tcW w:type="dxa" w:w="5700"/>
          </w:tcPr>
          <w:p>
            <w:r>
              <w:rPr>
                <w:sz w:val="18"/>
              </w:rPr>
              <w:t xml:space="preserve">Moderate leverage (3.1x net) with 11% revenue growth; the recent Endospan acquisition was financed via a debt-for-equity exchange and a delayed-draw term loan, not a fresh equity ask, and no going-concern or delisting signal was found.</w:t>
            </w:r>
          </w:p>
        </w:tc>
      </w:tr>
      <w:tr>
        <w:tc>
          <w:tcPr>
            <w:tcW w:type="dxa" w:w="900"/>
          </w:tcPr>
          <w:p>
            <w:r>
              <w:rPr>
                <w:sz w:val="18"/>
              </w:rPr>
              <w:t xml:space="preserve">Distress</w:t>
            </w:r>
          </w:p>
        </w:tc>
        <w:tc>
          <w:tcPr>
            <w:tcW w:type="dxa" w:w="900"/>
          </w:tcPr>
          <w:p>
            <w:r>
              <w:rPr>
                <w:b/>
                <w:sz w:val="18"/>
              </w:rPr>
              <w:t xml:space="preserve">XPOF</w:t>
            </w:r>
          </w:p>
        </w:tc>
        <w:tc>
          <w:tcPr>
            <w:tcW w:type="dxa" w:w="900"/>
          </w:tcPr>
          <w:p>
            <w:r>
              <w:rPr>
                <w:sz w:val="18"/>
              </w:rPr>
              <w:t xml:space="preserve">37.8</w:t>
            </w:r>
          </w:p>
        </w:tc>
        <w:tc>
          <w:tcPr>
            <w:tcW w:type="dxa" w:w="1200"/>
          </w:tcPr>
          <w:p>
            <w:r>
              <w:rPr>
                <w:sz w:val="18"/>
              </w:rPr>
              <w:t xml:space="preserve">Ambiguous</w:t>
            </w:r>
          </w:p>
        </w:tc>
        <w:tc>
          <w:tcPr>
            <w:tcW w:type="dxa" w:w="5700"/>
          </w:tcPr>
          <w:p>
            <w:r>
              <w:rPr>
                <w:sz w:val="18"/>
              </w:rPr>
              <w:t xml:space="preserve">Genuinely thin cash ($25M) against $523.7M of debt is a real distress signal, but the company is mid-way through a Jefferies-led strategic alternatives (sale/merger) review, making an independent equity pitch premature.</w:t>
            </w:r>
          </w:p>
        </w:tc>
      </w:tr>
      <w:tr>
        <w:tc>
          <w:tcPr>
            <w:tcW w:type="dxa" w:w="900"/>
          </w:tcPr>
          <w:p>
            <w:r>
              <w:rPr>
                <w:sz w:val="18"/>
              </w:rPr>
              <w:t xml:space="preserve">Distress</w:t>
            </w:r>
          </w:p>
        </w:tc>
        <w:tc>
          <w:tcPr>
            <w:tcW w:type="dxa" w:w="900"/>
          </w:tcPr>
          <w:p>
            <w:r>
              <w:rPr>
                <w:b/>
                <w:sz w:val="18"/>
              </w:rPr>
              <w:t xml:space="preserve">TONX</w:t>
            </w:r>
          </w:p>
        </w:tc>
        <w:tc>
          <w:tcPr>
            <w:tcW w:type="dxa" w:w="900"/>
          </w:tcPr>
          <w:p>
            <w:r>
              <w:rPr>
                <w:sz w:val="18"/>
              </w:rPr>
              <w:t xml:space="preserve">37.8</w:t>
            </w:r>
          </w:p>
        </w:tc>
        <w:tc>
          <w:tcPr>
            <w:tcW w:type="dxa" w:w="1200"/>
          </w:tcPr>
          <w:p>
            <w:r>
              <w:rPr>
                <w:sz w:val="18"/>
              </w:rPr>
              <w:t xml:space="preserve">Drop</w:t>
            </w:r>
          </w:p>
        </w:tc>
        <w:tc>
          <w:tcPr>
            <w:tcW w:type="dxa" w:w="5700"/>
          </w:tcPr>
          <w:p>
            <w:r>
              <w:rPr>
                <w:sz w:val="18"/>
              </w:rPr>
              <w:t xml:space="preserve">A $558M private investment completed in early 2026 already addressed the company's capital needs; near-breakeven operations and a 2+ year runway leave no fresh case, and the Nasdaq issue was a reprimand, not a delisting.</w:t>
            </w:r>
          </w:p>
        </w:tc>
      </w:tr>
      <w:tr>
        <w:tc>
          <w:tcPr>
            <w:tcW w:type="dxa" w:w="900"/>
          </w:tcPr>
          <w:p>
            <w:r>
              <w:rPr>
                <w:sz w:val="18"/>
              </w:rPr>
              <w:t xml:space="preserve">Distress</w:t>
            </w:r>
          </w:p>
        </w:tc>
        <w:tc>
          <w:tcPr>
            <w:tcW w:type="dxa" w:w="900"/>
          </w:tcPr>
          <w:p>
            <w:r>
              <w:rPr>
                <w:b/>
                <w:sz w:val="18"/>
              </w:rPr>
              <w:t xml:space="preserve">GO</w:t>
            </w:r>
          </w:p>
        </w:tc>
        <w:tc>
          <w:tcPr>
            <w:tcW w:type="dxa" w:w="900"/>
          </w:tcPr>
          <w:p>
            <w:r>
              <w:rPr>
                <w:sz w:val="18"/>
              </w:rPr>
              <w:t xml:space="preserve">37.8</w:t>
            </w:r>
          </w:p>
        </w:tc>
        <w:tc>
          <w:tcPr>
            <w:tcW w:type="dxa" w:w="1200"/>
          </w:tcPr>
          <w:p>
            <w:r>
              <w:rPr>
                <w:sz w:val="18"/>
              </w:rPr>
              <w:t xml:space="preserve">Drop</w:t>
            </w:r>
          </w:p>
        </w:tc>
        <w:tc>
          <w:tcPr>
            <w:tcW w:type="dxa" w:w="5700"/>
          </w:tcPr>
          <w:p>
            <w:r>
              <w:rPr>
                <w:sz w:val="18"/>
              </w:rPr>
              <w:t xml:space="preserve">$153.8M of undrawn revolver capacity, 1.8x net leverage, and covenant compliance leave ample untapped debt capacity; Q2 2026 returned to net income despite an H1 goodwill-impairment-driven loss.</w:t>
            </w:r>
          </w:p>
        </w:tc>
      </w:tr>
      <w:tr>
        <w:tc>
          <w:tcPr>
            <w:tcW w:type="dxa" w:w="900"/>
          </w:tcPr>
          <w:p>
            <w:r>
              <w:rPr>
                <w:sz w:val="18"/>
              </w:rPr>
              <w:t xml:space="preserve">Distress</w:t>
            </w:r>
          </w:p>
        </w:tc>
        <w:tc>
          <w:tcPr>
            <w:tcW w:type="dxa" w:w="900"/>
          </w:tcPr>
          <w:p>
            <w:r>
              <w:rPr>
                <w:b/>
                <w:sz w:val="18"/>
              </w:rPr>
              <w:t xml:space="preserve">LAB</w:t>
            </w:r>
          </w:p>
        </w:tc>
        <w:tc>
          <w:tcPr>
            <w:tcW w:type="dxa" w:w="900"/>
          </w:tcPr>
          <w:p>
            <w:r>
              <w:rPr>
                <w:sz w:val="18"/>
              </w:rPr>
              <w:t xml:space="preserve">37.0</w:t>
            </w:r>
          </w:p>
        </w:tc>
        <w:tc>
          <w:tcPr>
            <w:tcW w:type="dxa" w:w="1200"/>
          </w:tcPr>
          <w:p>
            <w:r>
              <w:rPr>
                <w:sz w:val="18"/>
              </w:rPr>
              <w:t xml:space="preserve">Drop</w:t>
            </w:r>
          </w:p>
        </w:tc>
        <w:tc>
          <w:tcPr>
            <w:tcW w:type="dxa" w:w="5700"/>
          </w:tcPr>
          <w:p>
            <w:r>
              <w:rPr>
                <w:sz w:val="18"/>
              </w:rPr>
              <w:t xml:space="preserve">Holds roughly $541M of cash and zero debt against only a $252M market cap (net cash exceeds market value); the live Nasdaq bid-price notice is best read as a market/merger-uncertainty issue to be cured via reverse split, not a capital need.</w:t>
            </w:r>
          </w:p>
        </w:tc>
      </w:tr>
      <w:tr>
        <w:tc>
          <w:tcPr>
            <w:tcW w:type="dxa" w:w="900"/>
          </w:tcPr>
          <w:p>
            <w:r>
              <w:rPr>
                <w:sz w:val="18"/>
              </w:rPr>
              <w:t xml:space="preserve">Distress</w:t>
            </w:r>
          </w:p>
        </w:tc>
        <w:tc>
          <w:tcPr>
            <w:tcW w:type="dxa" w:w="900"/>
          </w:tcPr>
          <w:p>
            <w:r>
              <w:rPr>
                <w:b/>
                <w:sz w:val="18"/>
              </w:rPr>
              <w:t xml:space="preserve">ENVX</w:t>
            </w:r>
          </w:p>
        </w:tc>
        <w:tc>
          <w:tcPr>
            <w:tcW w:type="dxa" w:w="900"/>
          </w:tcPr>
          <w:p>
            <w:r>
              <w:rPr>
                <w:sz w:val="18"/>
              </w:rPr>
              <w:t xml:space="preserve">37.0</w:t>
            </w:r>
          </w:p>
        </w:tc>
        <w:tc>
          <w:tcPr>
            <w:tcW w:type="dxa" w:w="1200"/>
          </w:tcPr>
          <w:p>
            <w:r>
              <w:rPr>
                <w:sz w:val="18"/>
              </w:rPr>
              <w:t xml:space="preserve">Drop</w:t>
            </w:r>
          </w:p>
        </w:tc>
        <w:tc>
          <w:tcPr>
            <w:tcW w:type="dxa" w:w="5700"/>
          </w:tcPr>
          <w:p>
            <w:r>
              <w:rPr>
                <w:sz w:val="18"/>
              </w:rPr>
              <w:t xml:space="preserve">$552.1M of cash against a $737M market cap with no going-concern or delisting signal; heavy capex on fab buildout explains the shorter stated runway, not distress.</w:t>
            </w:r>
          </w:p>
        </w:tc>
      </w:tr>
      <w:tr>
        <w:tc>
          <w:tcPr>
            <w:tcW w:type="dxa" w:w="900"/>
          </w:tcPr>
          <w:p>
            <w:r>
              <w:rPr>
                <w:sz w:val="18"/>
              </w:rPr>
              <w:t xml:space="preserve">Distress</w:t>
            </w:r>
          </w:p>
        </w:tc>
        <w:tc>
          <w:tcPr>
            <w:tcW w:type="dxa" w:w="900"/>
          </w:tcPr>
          <w:p>
            <w:r>
              <w:rPr>
                <w:b/>
                <w:sz w:val="18"/>
              </w:rPr>
              <w:t xml:space="preserve">RXRX</w:t>
            </w:r>
          </w:p>
        </w:tc>
        <w:tc>
          <w:tcPr>
            <w:tcW w:type="dxa" w:w="900"/>
          </w:tcPr>
          <w:p>
            <w:r>
              <w:rPr>
                <w:sz w:val="18"/>
              </w:rPr>
              <w:t xml:space="preserve">36.5</w:t>
            </w:r>
          </w:p>
        </w:tc>
        <w:tc>
          <w:tcPr>
            <w:tcW w:type="dxa" w:w="1200"/>
          </w:tcPr>
          <w:p>
            <w:r>
              <w:rPr>
                <w:sz w:val="18"/>
              </w:rPr>
              <w:t xml:space="preserve">Drop</w:t>
            </w:r>
          </w:p>
        </w:tc>
        <w:tc>
          <w:tcPr>
            <w:tcW w:type="dxa" w:w="5700"/>
          </w:tcPr>
          <w:p>
            <w:r>
              <w:rPr>
                <w:sz w:val="18"/>
              </w:rPr>
              <w:t xml:space="preserve">$556.8M cash with a runway into early 2028 and narrowing losses; a $300M ATM is available but untapped, and no going-concern or delisting signal was found.</w:t>
            </w:r>
          </w:p>
        </w:tc>
      </w:tr>
      <w:tr>
        <w:tc>
          <w:tcPr>
            <w:tcW w:type="dxa" w:w="900"/>
          </w:tcPr>
          <w:p>
            <w:r>
              <w:rPr>
                <w:sz w:val="18"/>
              </w:rPr>
              <w:t xml:space="preserve">Distress</w:t>
            </w:r>
          </w:p>
        </w:tc>
        <w:tc>
          <w:tcPr>
            <w:tcW w:type="dxa" w:w="900"/>
          </w:tcPr>
          <w:p>
            <w:r>
              <w:rPr>
                <w:b/>
                <w:sz w:val="18"/>
              </w:rPr>
              <w:t xml:space="preserve">LVWR</w:t>
            </w:r>
          </w:p>
        </w:tc>
        <w:tc>
          <w:tcPr>
            <w:tcW w:type="dxa" w:w="900"/>
          </w:tcPr>
          <w:p>
            <w:r>
              <w:rPr>
                <w:sz w:val="18"/>
              </w:rPr>
              <w:t xml:space="preserve">35.5</w:t>
            </w:r>
          </w:p>
        </w:tc>
        <w:tc>
          <w:tcPr>
            <w:tcW w:type="dxa" w:w="1200"/>
          </w:tcPr>
          <w:p>
            <w:r>
              <w:rPr>
                <w:sz w:val="18"/>
              </w:rPr>
              <w:t xml:space="preserve">Keep</w:t>
            </w:r>
          </w:p>
        </w:tc>
        <w:tc>
          <w:tcPr>
            <w:tcW w:type="dxa" w:w="5700"/>
          </w:tcPr>
          <w:p>
            <w:r>
              <w:rPr>
                <w:sz w:val="18"/>
              </w:rPr>
              <w:t xml:space="preserve">A related-party Harley-Davidson term loan (~$75-77M) matures October 31, 2026 against only $67.5M of cash and ~$53M annualized burn; management is actively seeking financing beyond its existing $50M ATM. One-pager written.</w:t>
            </w:r>
          </w:p>
        </w:tc>
      </w:tr>
      <w:tr>
        <w:tc>
          <w:tcPr>
            <w:tcW w:type="dxa" w:w="900"/>
          </w:tcPr>
          <w:p>
            <w:r>
              <w:rPr>
                <w:sz w:val="18"/>
              </w:rPr>
              <w:t xml:space="preserve">Distress</w:t>
            </w:r>
          </w:p>
        </w:tc>
        <w:tc>
          <w:tcPr>
            <w:tcW w:type="dxa" w:w="900"/>
          </w:tcPr>
          <w:p>
            <w:r>
              <w:rPr>
                <w:b/>
                <w:sz w:val="18"/>
              </w:rPr>
              <w:t xml:space="preserve">VERX</w:t>
            </w:r>
          </w:p>
        </w:tc>
        <w:tc>
          <w:tcPr>
            <w:tcW w:type="dxa" w:w="900"/>
          </w:tcPr>
          <w:p>
            <w:r>
              <w:rPr>
                <w:sz w:val="18"/>
              </w:rPr>
              <w:t xml:space="preserve">35.0</w:t>
            </w:r>
          </w:p>
        </w:tc>
        <w:tc>
          <w:tcPr>
            <w:tcW w:type="dxa" w:w="1200"/>
          </w:tcPr>
          <w:p>
            <w:r>
              <w:rPr>
                <w:sz w:val="18"/>
              </w:rPr>
              <w:t xml:space="preserve">Drop</w:t>
            </w:r>
          </w:p>
        </w:tc>
        <w:tc>
          <w:tcPr>
            <w:tcW w:type="dxa" w:w="5700"/>
          </w:tcPr>
          <w:p>
            <w:r>
              <w:rPr>
                <w:sz w:val="18"/>
              </w:rPr>
              <w:t xml:space="preserve">Positive free cash flow and net income in Q2 2026 with improving interest coverage; no distress signal despite the price decline.</w:t>
            </w:r>
          </w:p>
        </w:tc>
      </w:tr>
      <w:tr>
        <w:tc>
          <w:tcPr>
            <w:tcW w:type="dxa" w:w="900"/>
          </w:tcPr>
          <w:p>
            <w:r>
              <w:rPr>
                <w:sz w:val="18"/>
              </w:rPr>
              <w:t xml:space="preserve">Distress</w:t>
            </w:r>
          </w:p>
        </w:tc>
        <w:tc>
          <w:tcPr>
            <w:tcW w:type="dxa" w:w="900"/>
          </w:tcPr>
          <w:p>
            <w:r>
              <w:rPr>
                <w:b/>
                <w:sz w:val="18"/>
              </w:rPr>
              <w:t xml:space="preserve">LMRI</w:t>
            </w:r>
          </w:p>
        </w:tc>
        <w:tc>
          <w:tcPr>
            <w:tcW w:type="dxa" w:w="900"/>
          </w:tcPr>
          <w:p>
            <w:r>
              <w:rPr>
                <w:sz w:val="18"/>
              </w:rPr>
              <w:t xml:space="preserve">34.2</w:t>
            </w:r>
          </w:p>
        </w:tc>
        <w:tc>
          <w:tcPr>
            <w:tcW w:type="dxa" w:w="1200"/>
          </w:tcPr>
          <w:p>
            <w:r>
              <w:rPr>
                <w:sz w:val="18"/>
              </w:rPr>
              <w:t xml:space="preserve">Drop</w:t>
            </w:r>
          </w:p>
        </w:tc>
        <w:tc>
          <w:tcPr>
            <w:tcW w:type="dxa" w:w="5700"/>
          </w:tcPr>
          <w:p>
            <w:r>
              <w:rPr>
                <w:sz w:val="18"/>
              </w:rPr>
              <w:t xml:space="preserve">Just completed a $823M term loan plus $250M revolver refinancing (June 2026) that cut net leverage from 5.7x to 3.6x and swung the company back to a Q2 profit; revealed debt-financing preference, not equity.</w:t>
            </w:r>
          </w:p>
        </w:tc>
      </w:tr>
      <w:tr>
        <w:tc>
          <w:tcPr>
            <w:tcW w:type="dxa" w:w="900"/>
          </w:tcPr>
          <w:p>
            <w:r>
              <w:rPr>
                <w:sz w:val="18"/>
              </w:rPr>
              <w:t xml:space="preserve">Distress</w:t>
            </w:r>
          </w:p>
        </w:tc>
        <w:tc>
          <w:tcPr>
            <w:tcW w:type="dxa" w:w="900"/>
          </w:tcPr>
          <w:p>
            <w:r>
              <w:rPr>
                <w:b/>
                <w:sz w:val="18"/>
              </w:rPr>
              <w:t xml:space="preserve">ATEC</w:t>
            </w:r>
          </w:p>
        </w:tc>
        <w:tc>
          <w:tcPr>
            <w:tcW w:type="dxa" w:w="900"/>
          </w:tcPr>
          <w:p>
            <w:r>
              <w:rPr>
                <w:sz w:val="18"/>
              </w:rPr>
              <w:t xml:space="preserve">34.2</w:t>
            </w:r>
          </w:p>
        </w:tc>
        <w:tc>
          <w:tcPr>
            <w:tcW w:type="dxa" w:w="1200"/>
          </w:tcPr>
          <w:p>
            <w:r>
              <w:rPr>
                <w:sz w:val="18"/>
              </w:rPr>
              <w:t xml:space="preserve">Drop</w:t>
            </w:r>
          </w:p>
        </w:tc>
        <w:tc>
          <w:tcPr>
            <w:tcW w:type="dxa" w:w="5700"/>
          </w:tcPr>
          <w:p>
            <w:r>
              <w:rPr>
                <w:sz w:val="18"/>
              </w:rPr>
              <w:t xml:space="preserve">Arranged a new $300M syndicated debt facility in May 2026 to refinance prior debt, narrowing operating losses sharply (to $1.9M from $13.1M); revealed debt preference and no going-concern or delisting signal found.</w:t>
            </w:r>
          </w:p>
        </w:tc>
      </w:tr>
      <w:tr>
        <w:tc>
          <w:tcPr>
            <w:tcW w:type="dxa" w:w="900"/>
          </w:tcPr>
          <w:p>
            <w:r>
              <w:rPr>
                <w:sz w:val="18"/>
              </w:rPr>
              <w:t xml:space="preserve">Distress</w:t>
            </w:r>
          </w:p>
        </w:tc>
        <w:tc>
          <w:tcPr>
            <w:tcW w:type="dxa" w:w="900"/>
          </w:tcPr>
          <w:p>
            <w:r>
              <w:rPr>
                <w:b/>
                <w:sz w:val="18"/>
              </w:rPr>
              <w:t xml:space="preserve">DRVN</w:t>
            </w:r>
          </w:p>
        </w:tc>
        <w:tc>
          <w:tcPr>
            <w:tcW w:type="dxa" w:w="900"/>
          </w:tcPr>
          <w:p>
            <w:r>
              <w:rPr>
                <w:sz w:val="18"/>
              </w:rPr>
              <w:t xml:space="preserve">34.0</w:t>
            </w:r>
          </w:p>
        </w:tc>
        <w:tc>
          <w:tcPr>
            <w:tcW w:type="dxa" w:w="1200"/>
          </w:tcPr>
          <w:p>
            <w:r>
              <w:rPr>
                <w:sz w:val="18"/>
              </w:rPr>
              <w:t xml:space="preserve">Drop</w:t>
            </w:r>
          </w:p>
        </w:tc>
        <w:tc>
          <w:tcPr>
            <w:tcW w:type="dxa" w:w="5700"/>
          </w:tcPr>
          <w:p>
            <w:r>
              <w:rPr>
                <w:sz w:val="18"/>
              </w:rPr>
              <w:t xml:space="preserve">Profitable ($37.3M Q2 net income) with improving leverage (3.1x, approaching a 3.0x target); the live Nasdaq notice is for delayed filings tied to an accounting restatement, not a financial-distress or bid-price issue a raise would address.</w:t>
            </w:r>
          </w:p>
        </w:tc>
      </w:tr>
      <w:tr>
        <w:tc>
          <w:tcPr>
            <w:tcW w:type="dxa" w:w="900"/>
          </w:tcPr>
          <w:p>
            <w:r>
              <w:rPr>
                <w:sz w:val="18"/>
              </w:rPr>
              <w:t xml:space="preserve">Distress</w:t>
            </w:r>
          </w:p>
        </w:tc>
        <w:tc>
          <w:tcPr>
            <w:tcW w:type="dxa" w:w="900"/>
          </w:tcPr>
          <w:p>
            <w:r>
              <w:rPr>
                <w:b/>
                <w:sz w:val="18"/>
              </w:rPr>
              <w:t xml:space="preserve">CTEV</w:t>
            </w:r>
          </w:p>
        </w:tc>
        <w:tc>
          <w:tcPr>
            <w:tcW w:type="dxa" w:w="900"/>
          </w:tcPr>
          <w:p>
            <w:r>
              <w:rPr>
                <w:sz w:val="18"/>
              </w:rPr>
              <w:t xml:space="preserve">34.0</w:t>
            </w:r>
          </w:p>
        </w:tc>
        <w:tc>
          <w:tcPr>
            <w:tcW w:type="dxa" w:w="1200"/>
          </w:tcPr>
          <w:p>
            <w:r>
              <w:rPr>
                <w:sz w:val="18"/>
              </w:rPr>
              <w:t xml:space="preserve">Ambiguous</w:t>
            </w:r>
          </w:p>
        </w:tc>
        <w:tc>
          <w:tcPr>
            <w:tcW w:type="dxa" w:w="5700"/>
          </w:tcPr>
          <w:p>
            <w:r>
              <w:rPr>
                <w:sz w:val="18"/>
              </w:rPr>
              <w:t xml:space="preserve">Extreme leverage ($4.6B debt against a $667M market cap) and a reportedly sub-one-year cash runway are a real signal, but no explicit going-concern quote or specific debt maturity date could be confirmed this run, and the DOJ antitrust matter just closed without charges, muddying the pitch timing.</w:t>
            </w:r>
          </w:p>
        </w:tc>
      </w:tr>
      <w:tr>
        <w:tc>
          <w:tcPr>
            <w:tcW w:type="dxa" w:w="900"/>
          </w:tcPr>
          <w:p>
            <w:r>
              <w:rPr>
                <w:sz w:val="18"/>
              </w:rPr>
              <w:t xml:space="preserve">Distress</w:t>
            </w:r>
          </w:p>
        </w:tc>
        <w:tc>
          <w:tcPr>
            <w:tcW w:type="dxa" w:w="900"/>
          </w:tcPr>
          <w:p>
            <w:r>
              <w:rPr>
                <w:b/>
                <w:sz w:val="18"/>
              </w:rPr>
              <w:t xml:space="preserve">CLNE</w:t>
            </w:r>
          </w:p>
        </w:tc>
        <w:tc>
          <w:tcPr>
            <w:tcW w:type="dxa" w:w="900"/>
          </w:tcPr>
          <w:p>
            <w:r>
              <w:rPr>
                <w:sz w:val="18"/>
              </w:rPr>
              <w:t xml:space="preserve">34.0</w:t>
            </w:r>
          </w:p>
        </w:tc>
        <w:tc>
          <w:tcPr>
            <w:tcW w:type="dxa" w:w="1200"/>
          </w:tcPr>
          <w:p>
            <w:r>
              <w:rPr>
                <w:sz w:val="18"/>
              </w:rPr>
              <w:t xml:space="preserve">Drop</w:t>
            </w:r>
          </w:p>
        </w:tc>
        <w:tc>
          <w:tcPr>
            <w:tcW w:type="dxa" w:w="5700"/>
          </w:tcPr>
          <w:p>
            <w:r>
              <w:rPr>
                <w:sz w:val="18"/>
              </w:rPr>
              <w:t xml:space="preserve">Ample cash ($138M) with narrowing losses and $70-75M of guided adjusted EBITDA; its $250M Stonepeak term loan is not due until 2029, and no going-concern or delisting signal was found.</w:t>
            </w:r>
          </w:p>
        </w:tc>
      </w:tr>
      <w:tr>
        <w:tc>
          <w:tcPr>
            <w:tcW w:type="dxa" w:w="900"/>
          </w:tcPr>
          <w:p>
            <w:r>
              <w:rPr>
                <w:sz w:val="18"/>
              </w:rPr>
              <w:t xml:space="preserve">Distress</w:t>
            </w:r>
          </w:p>
        </w:tc>
        <w:tc>
          <w:tcPr>
            <w:tcW w:type="dxa" w:w="900"/>
          </w:tcPr>
          <w:p>
            <w:r>
              <w:rPr>
                <w:b/>
                <w:sz w:val="18"/>
              </w:rPr>
              <w:t xml:space="preserve">OWLT</w:t>
            </w:r>
          </w:p>
        </w:tc>
        <w:tc>
          <w:tcPr>
            <w:tcW w:type="dxa" w:w="900"/>
          </w:tcPr>
          <w:p>
            <w:r>
              <w:rPr>
                <w:sz w:val="18"/>
              </w:rPr>
              <w:t xml:space="preserve">33.2</w:t>
            </w:r>
          </w:p>
        </w:tc>
        <w:tc>
          <w:tcPr>
            <w:tcW w:type="dxa" w:w="1200"/>
          </w:tcPr>
          <w:p>
            <w:r>
              <w:rPr>
                <w:sz w:val="18"/>
              </w:rPr>
              <w:t xml:space="preserve">Drop</w:t>
            </w:r>
          </w:p>
        </w:tc>
        <w:tc>
          <w:tcPr>
            <w:tcW w:type="dxa" w:w="5700"/>
          </w:tcPr>
          <w:p>
            <w:r>
              <w:rPr>
                <w:sz w:val="18"/>
              </w:rPr>
              <w:t xml:space="preserve">Swung to positive operating income in Q2 2026 (aided by a one-time tariff refund) with a shrinking net loss; the going-concern flag found dates to Q3 2025 filings and appears stale, and the only delisting action found affects warrants, not the common stock.</w:t>
            </w:r>
          </w:p>
        </w:tc>
      </w:tr>
      <w:tr>
        <w:tc>
          <w:tcPr>
            <w:tcW w:type="dxa" w:w="900"/>
          </w:tcPr>
          <w:p>
            <w:r>
              <w:rPr>
                <w:sz w:val="18"/>
              </w:rPr>
              <w:t xml:space="preserve">Distress</w:t>
            </w:r>
          </w:p>
        </w:tc>
        <w:tc>
          <w:tcPr>
            <w:tcW w:type="dxa" w:w="900"/>
          </w:tcPr>
          <w:p>
            <w:r>
              <w:rPr>
                <w:b/>
                <w:sz w:val="18"/>
              </w:rPr>
              <w:t xml:space="preserve">AKBA</w:t>
            </w:r>
          </w:p>
        </w:tc>
        <w:tc>
          <w:tcPr>
            <w:tcW w:type="dxa" w:w="900"/>
          </w:tcPr>
          <w:p>
            <w:r>
              <w:rPr>
                <w:sz w:val="18"/>
              </w:rPr>
              <w:t xml:space="preserve">33.2</w:t>
            </w:r>
          </w:p>
        </w:tc>
        <w:tc>
          <w:tcPr>
            <w:tcW w:type="dxa" w:w="1200"/>
          </w:tcPr>
          <w:p>
            <w:r>
              <w:rPr>
                <w:sz w:val="18"/>
              </w:rPr>
              <w:t xml:space="preserve">Drop</w:t>
            </w:r>
          </w:p>
        </w:tc>
        <w:tc>
          <w:tcPr>
            <w:tcW w:type="dxa" w:w="5700"/>
          </w:tcPr>
          <w:p>
            <w:r>
              <w:rPr>
                <w:sz w:val="18"/>
              </w:rPr>
              <w:t xml:space="preserve">2+ years of guided cash runway ($155.5M) against a small, already-extended $49.6M term loan (2028 maturity); no going-concern or delisting signal was found.</w:t>
            </w:r>
          </w:p>
        </w:tc>
      </w:tr>
      <w:tr>
        <w:tc>
          <w:tcPr>
            <w:tcW w:type="dxa" w:w="900"/>
          </w:tcPr>
          <w:p>
            <w:r>
              <w:rPr>
                <w:sz w:val="18"/>
              </w:rPr>
              <w:t xml:space="preserve">Distress</w:t>
            </w:r>
          </w:p>
        </w:tc>
        <w:tc>
          <w:tcPr>
            <w:tcW w:type="dxa" w:w="900"/>
          </w:tcPr>
          <w:p>
            <w:r>
              <w:rPr>
                <w:b/>
                <w:sz w:val="18"/>
              </w:rPr>
              <w:t xml:space="preserve">SES</w:t>
            </w:r>
          </w:p>
        </w:tc>
        <w:tc>
          <w:tcPr>
            <w:tcW w:type="dxa" w:w="900"/>
          </w:tcPr>
          <w:p>
            <w:r>
              <w:rPr>
                <w:sz w:val="18"/>
              </w:rPr>
              <w:t xml:space="preserve">33.0</w:t>
            </w:r>
          </w:p>
        </w:tc>
        <w:tc>
          <w:tcPr>
            <w:tcW w:type="dxa" w:w="1200"/>
          </w:tcPr>
          <w:p>
            <w:r>
              <w:rPr>
                <w:sz w:val="18"/>
              </w:rPr>
              <w:t xml:space="preserve">Drop</w:t>
            </w:r>
          </w:p>
        </w:tc>
        <w:tc>
          <w:tcPr>
            <w:tcW w:type="dxa" w:w="5700"/>
          </w:tcPr>
          <w:p>
            <w:r>
              <w:rPr>
                <w:sz w:val="18"/>
              </w:rPr>
              <w:t xml:space="preserve">Ample cash ($163M, ~2.4yr runway), an $800M largely undrawn revolver, and an active $150M ATM under a $300M shelf already provide financing access; 40%+ revenue growth undercuts the distress case.</w:t>
            </w:r>
          </w:p>
        </w:tc>
      </w:tr>
      <w:tr>
        <w:tc>
          <w:tcPr>
            <w:tcW w:type="dxa" w:w="900"/>
          </w:tcPr>
          <w:p>
            <w:r>
              <w:rPr>
                <w:sz w:val="18"/>
              </w:rPr>
              <w:t xml:space="preserve">Distress</w:t>
            </w:r>
          </w:p>
        </w:tc>
        <w:tc>
          <w:tcPr>
            <w:tcW w:type="dxa" w:w="900"/>
          </w:tcPr>
          <w:p>
            <w:r>
              <w:rPr>
                <w:b/>
                <w:sz w:val="18"/>
              </w:rPr>
              <w:t xml:space="preserve">PLYX</w:t>
            </w:r>
          </w:p>
        </w:tc>
        <w:tc>
          <w:tcPr>
            <w:tcW w:type="dxa" w:w="900"/>
          </w:tcPr>
          <w:p>
            <w:r>
              <w:rPr>
                <w:sz w:val="18"/>
              </w:rPr>
              <w:t xml:space="preserve">32.5</w:t>
            </w:r>
          </w:p>
        </w:tc>
        <w:tc>
          <w:tcPr>
            <w:tcW w:type="dxa" w:w="1200"/>
          </w:tcPr>
          <w:p>
            <w:r>
              <w:rPr>
                <w:sz w:val="18"/>
              </w:rPr>
              <w:t xml:space="preserve">Drop</w:t>
            </w:r>
          </w:p>
        </w:tc>
        <w:tc>
          <w:tcPr>
            <w:tcW w:type="dxa" w:w="5700"/>
          </w:tcPr>
          <w:p>
            <w:r>
              <w:rPr>
                <w:sz w:val="18"/>
              </w:rPr>
              <w:t xml:space="preserve">Despite explicit going-concern language, closed a $10M private placement (PIPE) on May 28, 2026, inside the 6-month lookback -- a hard disqualifier regardless of the going-concern signal.</w:t>
            </w:r>
          </w:p>
        </w:tc>
      </w:tr>
      <w:tr>
        <w:tc>
          <w:tcPr>
            <w:tcW w:type="dxa" w:w="900"/>
          </w:tcPr>
          <w:p>
            <w:r>
              <w:rPr>
                <w:sz w:val="18"/>
              </w:rPr>
              <w:t xml:space="preserve">Distress</w:t>
            </w:r>
          </w:p>
        </w:tc>
        <w:tc>
          <w:tcPr>
            <w:tcW w:type="dxa" w:w="900"/>
          </w:tcPr>
          <w:p>
            <w:r>
              <w:rPr>
                <w:b/>
                <w:sz w:val="18"/>
              </w:rPr>
              <w:t xml:space="preserve">OSG</w:t>
            </w:r>
          </w:p>
        </w:tc>
        <w:tc>
          <w:tcPr>
            <w:tcW w:type="dxa" w:w="900"/>
          </w:tcPr>
          <w:p>
            <w:r>
              <w:rPr>
                <w:sz w:val="18"/>
              </w:rPr>
              <w:t xml:space="preserve">32.5</w:t>
            </w:r>
          </w:p>
        </w:tc>
        <w:tc>
          <w:tcPr>
            <w:tcW w:type="dxa" w:w="1200"/>
          </w:tcPr>
          <w:p>
            <w:r>
              <w:rPr>
                <w:sz w:val="18"/>
              </w:rPr>
              <w:t xml:space="preserve">Drop</w:t>
            </w:r>
          </w:p>
        </w:tc>
        <w:tc>
          <w:tcPr>
            <w:tcW w:type="dxa" w:w="5700"/>
          </w:tcPr>
          <w:p>
            <w:r>
              <w:rPr>
                <w:sz w:val="18"/>
              </w:rPr>
              <w:t xml:space="preserve">Improving fundamentals (adjusted EBITDA swung positive, losses narrowing) and a newly arranged $40M term loan to fund the Everspan acquisition -- a revealed debt-financing preference, not equity need.</w:t>
            </w:r>
          </w:p>
        </w:tc>
      </w:tr>
      <w:tr>
        <w:tc>
          <w:tcPr>
            <w:tcW w:type="dxa" w:w="900"/>
          </w:tcPr>
          <w:p>
            <w:r>
              <w:rPr>
                <w:sz w:val="18"/>
              </w:rPr>
              <w:t xml:space="preserve">Distress</w:t>
            </w:r>
          </w:p>
        </w:tc>
        <w:tc>
          <w:tcPr>
            <w:tcW w:type="dxa" w:w="900"/>
          </w:tcPr>
          <w:p>
            <w:r>
              <w:rPr>
                <w:b/>
                <w:sz w:val="18"/>
              </w:rPr>
              <w:t xml:space="preserve">METC</w:t>
            </w:r>
          </w:p>
        </w:tc>
        <w:tc>
          <w:tcPr>
            <w:tcW w:type="dxa" w:w="900"/>
          </w:tcPr>
          <w:p>
            <w:r>
              <w:rPr>
                <w:sz w:val="18"/>
              </w:rPr>
              <w:t xml:space="preserve">32.5</w:t>
            </w:r>
          </w:p>
        </w:tc>
        <w:tc>
          <w:tcPr>
            <w:tcW w:type="dxa" w:w="1200"/>
          </w:tcPr>
          <w:p>
            <w:r>
              <w:rPr>
                <w:sz w:val="18"/>
              </w:rPr>
              <w:t xml:space="preserve">Drop</w:t>
            </w:r>
          </w:p>
        </w:tc>
        <w:tc>
          <w:tcPr>
            <w:tcW w:type="dxa" w:w="5700"/>
          </w:tcPr>
          <w:p>
            <w:r>
              <w:rPr>
                <w:sz w:val="18"/>
              </w:rPr>
              <w:t xml:space="preserve">Pays a maintained cash dividend and a stock dividend despite H1 net losses, with $282.5M cash plus $117.6M of revolver availability; profitability/dividend override applies and rare-earth-mine catalysts (Brook Mine) are a growth story, not distress.</w:t>
            </w:r>
          </w:p>
        </w:tc>
      </w:tr>
    </w:tbl>
    <w:p>
      <w:pPr>
        <w:pStyle w:val="Heading2"/>
      </w:pPr>
      <w:r>
        <w:t>Full Disposition — Batch 4 (final): remaining names from batches 1-3</w:t>
      </w:r>
    </w:p>
    <w:p>
      <w:r>
        <w:rPr>
          <w:i w:val="0"/>
          <w:sz w:val="22"/>
        </w:rPr>
        <w:t>This batch covered the 33 tickers left unresearched after batches 1-3: 18 names batch 3 could not reach before its own session web-search budget ran out (DOMO, BLKB, INV, INDP, WHR, VTS, TRAK, PRGO, NCMI, MGPI, LUCK, KMPR, FMC, EMBC, CCOI, BRLT, ALTG, ALIT -- of which INV and INDP were already a second consecutive miss, carried over from Batch 1), plus 15 names trimmed from Batch 2's original scope (CABO, KROS, AHCO, FLWS, NPWR, WD, RBBN, IIIV, QSI, SJT, SION, OPRX, MPLT, FULC, WOOF). All 33 were researched this run without hitting a search-budget limit. Three Keep names were promoted to one-pagers: INV (going-concern doubt plus two convertible-debt maturities inside four months), NPWR (a company-stated, dated $125-175M equity target for a named project, Permian Phase 1), and RBBN (cash nearly halved in one quarter, fully-drawn credit facility, a covenant waiver already obtained in May 2026).</w:t>
      </w:r>
    </w:p>
    <w:p>
      <w:r>
        <w:rPr>
          <w:i w:val="0"/>
          <w:sz w:val="22"/>
        </w:rPr>
        <w:t>Notable profitability_override findings: of the 16 distress-screen names flagged profitability_override=True in this batch, only VTS, TRAK, and BRLT were confirmed still both profitable and (where applicable) dividend-paying as of the most current quarter. WHR, PRGO, NCMI, MGPI, LUCK, KMPR, FMC, EMBC, CCOI, ALTG, and ALIT no longer cleanly fit the flag (dividend cuts/suspensions, GAAP net losses, or both) but were still sorted Drop on independent grounds -- see reasons below (recent equity/strategic raises, ample untapped debt capacity, self-funding free cash flow, or a pending transaction). WHR in particular already completed a roughly $1.1B equity offering in Q1 2026 as part of a $5.1B recapitalization, alongside suspending its dividend -- the capital need the up-screen would otherwise flag has already been addressed by that raise.</w:t>
      </w:r>
    </w:p>
    <w:p>
      <w:r>
        <w:rPr>
          <w:i w:val="0"/>
          <w:sz w:val="22"/>
        </w:rPr>
        <w:t>Coverage check: cross-referencing every symbol scoring capital_need_score &gt;= 25 in this week's weekly-lists/candidates.csv (16 names) and weekly-lists/candidates_distress.csv (147 names) against every disposition table in this file (Batches 1-4) confirms full coverage -- all 163 unique candidates now have a Keep/Drop/Ambiguous disposition somewhere in this document, and no ticker appears in a disposition table without also appearing in this week's candidate lists. No gaps remain.</w:t>
      </w:r>
    </w:p>
    <w:tbl>
      <w:tblPr>
        <w:tblW w:type="auto" w:w="0"/>
        <w:tblBorders>
          <w:top w:val="single" w:color="auto" w:sz="4"/>
          <w:left w:val="single" w:color="auto" w:sz="4"/>
          <w:bottom w:val="single" w:color="auto" w:sz="4"/>
          <w:right w:val="single" w:color="auto" w:sz="4"/>
          <w:insideH w:val="single" w:color="auto" w:sz="4"/>
          <w:insideV w:val="single" w:color="auto" w:sz="4"/>
        </w:tblBorders>
        <w:tblLook w:firstColumn="1" w:firstRow="1" w:lastColumn="0" w:lastRow="0" w:noHBand="0" w:noVBand="1" w:val="04A0"/>
      </w:tblPr>
      <w:tblGrid>
        <w:gridCol w:w="2016"/>
        <w:gridCol w:w="2016"/>
        <w:gridCol w:w="2016"/>
        <w:gridCol w:w="2016"/>
        <w:gridCol w:w="2016"/>
      </w:tblGrid>
      <w:tr>
        <w:tc>
          <w:tcPr>
            <w:tcW w:type="dxa" w:w="2016"/>
          </w:tcPr>
          <w:p>
            <w:r>
              <w:t>Screen</w:t>
            </w:r>
          </w:p>
        </w:tc>
        <w:tc>
          <w:tcPr>
            <w:tcW w:type="dxa" w:w="2016"/>
          </w:tcPr>
          <w:p>
            <w:r>
              <w:t>Ticker</w:t>
            </w:r>
          </w:p>
        </w:tc>
        <w:tc>
          <w:tcPr>
            <w:tcW w:type="dxa" w:w="2016"/>
          </w:tcPr>
          <w:p>
            <w:r>
              <w:t>Score</w:t>
            </w:r>
          </w:p>
        </w:tc>
        <w:tc>
          <w:tcPr>
            <w:tcW w:type="dxa" w:w="2016"/>
          </w:tcPr>
          <w:p>
            <w:r>
              <w:t>Disposition</w:t>
            </w:r>
          </w:p>
        </w:tc>
        <w:tc>
          <w:tcPr>
            <w:tcW w:type="dxa" w:w="2016"/>
          </w:tcPr>
          <w:p>
            <w:r>
              <w:t>Reason</w:t>
            </w:r>
          </w:p>
        </w:tc>
      </w:tr>
      <w:tr>
        <w:tc>
          <w:tcPr>
            <w:tcW w:type="dxa" w:w="2016"/>
          </w:tcPr>
          <w:p>
            <w:r>
              <w:t>Distress</w:t>
            </w:r>
          </w:p>
        </w:tc>
        <w:tc>
          <w:tcPr>
            <w:tcW w:type="dxa" w:w="2016"/>
          </w:tcPr>
          <w:p>
            <w:r>
              <w:t>DOMO</w:t>
            </w:r>
          </w:p>
        </w:tc>
        <w:tc>
          <w:tcPr>
            <w:tcW w:type="dxa" w:w="2016"/>
          </w:tcPr>
          <w:p>
            <w:r>
              <w:t>25.2</w:t>
            </w:r>
          </w:p>
        </w:tc>
        <w:tc>
          <w:tcPr>
            <w:tcW w:type="dxa" w:w="2016"/>
          </w:tcPr>
          <w:p>
            <w:r>
              <w:t>Drop</w:t>
            </w:r>
          </w:p>
        </w:tc>
        <w:tc>
          <w:tcPr>
            <w:tcW w:type="dxa" w:w="2016"/>
          </w:tcPr>
          <w:p>
            <w:r>
              <w:t>Agreed to sell substantially all assets to Progress Software for $400M cash (July 22, 2026); post-close shell retains ~$246M net cash and pays off its term loan -- the pending transaction resolves the capital need directly, making an independent equity pitch moot.</w:t>
            </w:r>
          </w:p>
        </w:tc>
      </w:tr>
      <w:tr>
        <w:tc>
          <w:tcPr>
            <w:tcW w:type="dxa" w:w="2016"/>
          </w:tcPr>
          <w:p>
            <w:r>
              <w:t>Distress</w:t>
            </w:r>
          </w:p>
        </w:tc>
        <w:tc>
          <w:tcPr>
            <w:tcW w:type="dxa" w:w="2016"/>
          </w:tcPr>
          <w:p>
            <w:r>
              <w:t>BLKB</w:t>
            </w:r>
          </w:p>
        </w:tc>
        <w:tc>
          <w:tcPr>
            <w:tcW w:type="dxa" w:w="2016"/>
          </w:tcPr>
          <w:p>
            <w:r>
              <w:t>25.2</w:t>
            </w:r>
          </w:p>
        </w:tc>
        <w:tc>
          <w:tcPr>
            <w:tcW w:type="dxa" w:w="2016"/>
          </w:tcPr>
          <w:p>
            <w:r>
              <w:t>Drop</w:t>
            </w:r>
          </w:p>
        </w:tc>
        <w:tc>
          <w:tcPr>
            <w:tcW w:type="dxa" w:w="2016"/>
          </w:tcPr>
          <w:p>
            <w:r>
              <w:t>profitability_override confirmed current: GAAP net income $35.4M in Q2 2026, ~$1.12B net debt position, and an active 6-10% share buyback program (FY2026) -- the opposite of a capital need. No near-term debt maturity (2029).</w:t>
            </w:r>
          </w:p>
        </w:tc>
      </w:tr>
      <w:tr>
        <w:tc>
          <w:tcPr>
            <w:tcW w:type="dxa" w:w="2016"/>
          </w:tcPr>
          <w:p>
            <w:r>
              <w:t>Distress</w:t>
            </w:r>
          </w:p>
        </w:tc>
        <w:tc>
          <w:tcPr>
            <w:tcW w:type="dxa" w:w="2016"/>
          </w:tcPr>
          <w:p>
            <w:r>
              <w:t>INV</w:t>
            </w:r>
          </w:p>
        </w:tc>
        <w:tc>
          <w:tcPr>
            <w:tcW w:type="dxa" w:w="2016"/>
          </w:tcPr>
          <w:p>
            <w:r>
              <w:t>49.5</w:t>
            </w:r>
          </w:p>
        </w:tc>
        <w:tc>
          <w:tcPr>
            <w:tcW w:type="dxa" w:w="2016"/>
          </w:tcPr>
          <w:p>
            <w:r>
              <w:t>Keep</w:t>
            </w:r>
          </w:p>
        </w:tc>
        <w:tc>
          <w:tcPr>
            <w:tcW w:type="dxa" w:w="2016"/>
          </w:tcPr>
          <w:p>
            <w:r>
              <w:t>Going-concern doubt disclosed in the Q2 2026 10-Q, only $41.5M cash against a ~$10M/month H1 burn rate, and two convertible-debt maturities inside the next four months ($5M Sept 15, 2026; $7.75M Dec 31, 2026); no equity raised in 2026. One-pager written.</w:t>
            </w:r>
          </w:p>
        </w:tc>
      </w:tr>
      <w:tr>
        <w:tc>
          <w:tcPr>
            <w:tcW w:type="dxa" w:w="2016"/>
          </w:tcPr>
          <w:p>
            <w:r>
              <w:t>Distress</w:t>
            </w:r>
          </w:p>
        </w:tc>
        <w:tc>
          <w:tcPr>
            <w:tcW w:type="dxa" w:w="2016"/>
          </w:tcPr>
          <w:p>
            <w:r>
              <w:t>INDP</w:t>
            </w:r>
          </w:p>
        </w:tc>
        <w:tc>
          <w:tcPr>
            <w:tcW w:type="dxa" w:w="2016"/>
          </w:tcPr>
          <w:p>
            <w:r>
              <w:t>47.5</w:t>
            </w:r>
          </w:p>
        </w:tc>
        <w:tc>
          <w:tcPr>
            <w:tcW w:type="dxa" w:w="2016"/>
          </w:tcPr>
          <w:p>
            <w:r>
              <w:t>Drop</w:t>
            </w:r>
          </w:p>
        </w:tc>
        <w:tc>
          <w:tcPr>
            <w:tcW w:type="dxa" w:w="2016"/>
          </w:tcPr>
          <w:p>
            <w:r>
              <w:t>Already raised $12M via a private placement in June 2026, inside the 6-month lookback window -- a hard disqualifier regardless of the going-concern language carried from the prior 10-Q; delisting risk already cured via a 2025 reverse split.</w:t>
            </w:r>
          </w:p>
        </w:tc>
      </w:tr>
      <w:tr>
        <w:tc>
          <w:tcPr>
            <w:tcW w:type="dxa" w:w="2016"/>
          </w:tcPr>
          <w:p>
            <w:r>
              <w:t>Distress</w:t>
            </w:r>
          </w:p>
        </w:tc>
        <w:tc>
          <w:tcPr>
            <w:tcW w:type="dxa" w:w="2016"/>
          </w:tcPr>
          <w:p>
            <w:r>
              <w:t>WHR</w:t>
            </w:r>
          </w:p>
        </w:tc>
        <w:tc>
          <w:tcPr>
            <w:tcW w:type="dxa" w:w="2016"/>
          </w:tcPr>
          <w:p>
            <w:r>
              <w:t>25.0</w:t>
            </w:r>
          </w:p>
        </w:tc>
        <w:tc>
          <w:tcPr>
            <w:tcW w:type="dxa" w:w="2016"/>
          </w:tcPr>
          <w:p>
            <w:r>
              <w:t>Drop</w:t>
            </w:r>
          </w:p>
        </w:tc>
        <w:tc>
          <w:tcPr>
            <w:tcW w:type="dxa" w:w="2016"/>
          </w:tcPr>
          <w:p>
            <w:r>
              <w:t>profitability_override is stale (dividend suspended Q2 2026, negative ongoing EPS), but the company already completed a ~$1.1B equity offering in Q1 2026 as part of a $5.1B recapitalization addressing 2026-2027 maturities -- capital need already addressed by a recent raise.</w:t>
            </w:r>
          </w:p>
        </w:tc>
      </w:tr>
      <w:tr>
        <w:tc>
          <w:tcPr>
            <w:tcW w:type="dxa" w:w="2016"/>
          </w:tcPr>
          <w:p>
            <w:r>
              <w:t>Distress</w:t>
            </w:r>
          </w:p>
        </w:tc>
        <w:tc>
          <w:tcPr>
            <w:tcW w:type="dxa" w:w="2016"/>
          </w:tcPr>
          <w:p>
            <w:r>
              <w:t>VTS</w:t>
            </w:r>
          </w:p>
        </w:tc>
        <w:tc>
          <w:tcPr>
            <w:tcW w:type="dxa" w:w="2016"/>
          </w:tcPr>
          <w:p>
            <w:r>
              <w:t>25.0</w:t>
            </w:r>
          </w:p>
        </w:tc>
        <w:tc>
          <w:tcPr>
            <w:tcW w:type="dxa" w:w="2016"/>
          </w:tcPr>
          <w:p>
            <w:r>
              <w:t>Drop</w:t>
            </w:r>
          </w:p>
        </w:tc>
        <w:tc>
          <w:tcPr>
            <w:tcW w:type="dxa" w:w="2016"/>
          </w:tcPr>
          <w:p>
            <w:r>
              <w:t>profitability_override confirmed current: Q2 2026 net income $33.1M, 15 consecutive quarterly dividends since IPO, net debt/adjusted EBITDA of only 1.0x, no near-term maturity.</w:t>
            </w:r>
          </w:p>
        </w:tc>
      </w:tr>
      <w:tr>
        <w:tc>
          <w:tcPr>
            <w:tcW w:type="dxa" w:w="2016"/>
          </w:tcPr>
          <w:p>
            <w:r>
              <w:t>Distress</w:t>
            </w:r>
          </w:p>
        </w:tc>
        <w:tc>
          <w:tcPr>
            <w:tcW w:type="dxa" w:w="2016"/>
          </w:tcPr>
          <w:p>
            <w:r>
              <w:t>TRAK</w:t>
            </w:r>
          </w:p>
        </w:tc>
        <w:tc>
          <w:tcPr>
            <w:tcW w:type="dxa" w:w="2016"/>
          </w:tcPr>
          <w:p>
            <w:r>
              <w:t>25.0</w:t>
            </w:r>
          </w:p>
        </w:tc>
        <w:tc>
          <w:tcPr>
            <w:tcW w:type="dxa" w:w="2016"/>
          </w:tcPr>
          <w:p>
            <w:r>
              <w:t>Drop</w:t>
            </w:r>
          </w:p>
        </w:tc>
        <w:tc>
          <w:tcPr>
            <w:tcW w:type="dxa" w:w="2016"/>
          </w:tcPr>
          <w:p>
            <w:r>
              <w:t>profitability_override confirmed current: Q3 2026 net income $2.0M with &gt;30% net margins, dividend raised for a 3rd consecutive year, essentially debt-free, no going-concern or delisting signal.</w:t>
            </w:r>
          </w:p>
        </w:tc>
      </w:tr>
      <w:tr>
        <w:tc>
          <w:tcPr>
            <w:tcW w:type="dxa" w:w="2016"/>
          </w:tcPr>
          <w:p>
            <w:r>
              <w:t>Distress</w:t>
            </w:r>
          </w:p>
        </w:tc>
        <w:tc>
          <w:tcPr>
            <w:tcW w:type="dxa" w:w="2016"/>
          </w:tcPr>
          <w:p>
            <w:r>
              <w:t>PRGO</w:t>
            </w:r>
          </w:p>
        </w:tc>
        <w:tc>
          <w:tcPr>
            <w:tcW w:type="dxa" w:w="2016"/>
          </w:tcPr>
          <w:p>
            <w:r>
              <w:t>25.0</w:t>
            </w:r>
          </w:p>
        </w:tc>
        <w:tc>
          <w:tcPr>
            <w:tcW w:type="dxa" w:w="2016"/>
          </w:tcPr>
          <w:p>
            <w:r>
              <w:t>Drop</w:t>
            </w:r>
          </w:p>
        </w:tc>
        <w:tc>
          <w:tcPr>
            <w:tcW w:type="dxa" w:w="2016"/>
          </w:tcPr>
          <w:p>
            <w:r>
              <w:t>Q2 2026 confirms a return to profitability ($88.6M net income) after an H1 impairment-driven loss; covenant-compliant, actively deleveraging via a Dermacosmetics divestiture (revealed asset-sale preference), no near-term maturity (2029/2030), no going concern found.</w:t>
            </w:r>
          </w:p>
        </w:tc>
      </w:tr>
      <w:tr>
        <w:tc>
          <w:tcPr>
            <w:tcW w:type="dxa" w:w="2016"/>
          </w:tcPr>
          <w:p>
            <w:r>
              <w:t>Distress</w:t>
            </w:r>
          </w:p>
        </w:tc>
        <w:tc>
          <w:tcPr>
            <w:tcW w:type="dxa" w:w="2016"/>
          </w:tcPr>
          <w:p>
            <w:r>
              <w:t>NCMI</w:t>
            </w:r>
          </w:p>
        </w:tc>
        <w:tc>
          <w:tcPr>
            <w:tcW w:type="dxa" w:w="2016"/>
          </w:tcPr>
          <w:p>
            <w:r>
              <w:t>25.0</w:t>
            </w:r>
          </w:p>
        </w:tc>
        <w:tc>
          <w:tcPr>
            <w:tcW w:type="dxa" w:w="2016"/>
          </w:tcPr>
          <w:p>
            <w:r>
              <w:t>Drop</w:t>
            </w:r>
          </w:p>
        </w:tc>
        <w:tc>
          <w:tcPr>
            <w:tcW w:type="dxa" w:w="2016"/>
          </w:tcPr>
          <w:p>
            <w:r>
              <w:t>profitability_override is stale (FY2026 net loss, dividend paused to fund debt repayment), but the company just arranged a new ~$300M debt facility (term loan + revolver) to finance the Captivate acquisition -- a revealed debt-financing preference and evidence of continued debt-market access, not an equity need.</w:t>
            </w:r>
          </w:p>
        </w:tc>
      </w:tr>
      <w:tr>
        <w:tc>
          <w:tcPr>
            <w:tcW w:type="dxa" w:w="2016"/>
          </w:tcPr>
          <w:p>
            <w:r>
              <w:t>Distress</w:t>
            </w:r>
          </w:p>
        </w:tc>
        <w:tc>
          <w:tcPr>
            <w:tcW w:type="dxa" w:w="2016"/>
          </w:tcPr>
          <w:p>
            <w:r>
              <w:t>MGPI</w:t>
            </w:r>
          </w:p>
        </w:tc>
        <w:tc>
          <w:tcPr>
            <w:tcW w:type="dxa" w:w="2016"/>
          </w:tcPr>
          <w:p>
            <w:r>
              <w:t>25.0</w:t>
            </w:r>
          </w:p>
        </w:tc>
        <w:tc>
          <w:tcPr>
            <w:tcW w:type="dxa" w:w="2016"/>
          </w:tcPr>
          <w:p>
            <w:r>
              <w:t>Drop</w:t>
            </w:r>
          </w:p>
        </w:tc>
        <w:tc>
          <w:tcPr>
            <w:tcW w:type="dxa" w:w="2016"/>
          </w:tcPr>
          <w:p>
            <w:r>
              <w:t>Q1 2026 GAAP loss was driven by a $179.5M non-cash goodwill impairment; adjusted EPS remains guided profitable for FY2026, dividend maintained, forecast FCF positive ($30-35M), no going-concern language found despite rising debt.</w:t>
            </w:r>
          </w:p>
        </w:tc>
      </w:tr>
      <w:tr>
        <w:tc>
          <w:tcPr>
            <w:tcW w:type="dxa" w:w="2016"/>
          </w:tcPr>
          <w:p>
            <w:r>
              <w:t>Distress</w:t>
            </w:r>
          </w:p>
        </w:tc>
        <w:tc>
          <w:tcPr>
            <w:tcW w:type="dxa" w:w="2016"/>
          </w:tcPr>
          <w:p>
            <w:r>
              <w:t>LUCK</w:t>
            </w:r>
          </w:p>
        </w:tc>
        <w:tc>
          <w:tcPr>
            <w:tcW w:type="dxa" w:w="2016"/>
          </w:tcPr>
          <w:p>
            <w:r>
              <w:t>25.0</w:t>
            </w:r>
          </w:p>
        </w:tc>
        <w:tc>
          <w:tcPr>
            <w:tcW w:type="dxa" w:w="2016"/>
          </w:tcPr>
          <w:p>
            <w:r>
              <w:t>Drop</w:t>
            </w:r>
          </w:p>
        </w:tc>
        <w:tc>
          <w:tcPr>
            <w:tcW w:type="dxa" w:w="2016"/>
          </w:tcPr>
          <w:p>
            <w:r>
              <w:t>$412M of total liquidity (cash plus revolver availability) and no near-term debt maturity (pushed to 2030-2032 via a Sept 2025 refinancing) despite an unsustainable 165% dividend payout ratio and elevated 8.8x lease-adjusted leverage; $316M of undrawn revolver capacity is a disqualifying untapped-capacity signal.</w:t>
            </w:r>
          </w:p>
        </w:tc>
      </w:tr>
      <w:tr>
        <w:tc>
          <w:tcPr>
            <w:tcW w:type="dxa" w:w="2016"/>
          </w:tcPr>
          <w:p>
            <w:r>
              <w:t>Distress</w:t>
            </w:r>
          </w:p>
        </w:tc>
        <w:tc>
          <w:tcPr>
            <w:tcW w:type="dxa" w:w="2016"/>
          </w:tcPr>
          <w:p>
            <w:r>
              <w:t>KMPR</w:t>
            </w:r>
          </w:p>
        </w:tc>
        <w:tc>
          <w:tcPr>
            <w:tcW w:type="dxa" w:w="2016"/>
          </w:tcPr>
          <w:p>
            <w:r>
              <w:t>25.0</w:t>
            </w:r>
          </w:p>
        </w:tc>
        <w:tc>
          <w:tcPr>
            <w:tcW w:type="dxa" w:w="2016"/>
          </w:tcPr>
          <w:p>
            <w:r>
              <w:t>Drop</w:t>
            </w:r>
          </w:p>
        </w:tc>
        <w:tc>
          <w:tcPr>
            <w:tcW w:type="dxa" w:w="2016"/>
          </w:tcPr>
          <w:p>
            <w:r>
              <w:t>Q2 2026 GAAP loss was driven by a $460M non-cash goodwill impairment; $766M of holding-company liquidity and a fully undrawn $350M revolver, no near-term debt maturity (2030/2032), dividend maintained, restructuring already underway for underwriting losses.</w:t>
            </w:r>
          </w:p>
        </w:tc>
      </w:tr>
      <w:tr>
        <w:tc>
          <w:tcPr>
            <w:tcW w:type="dxa" w:w="2016"/>
          </w:tcPr>
          <w:p>
            <w:r>
              <w:t>Distress</w:t>
            </w:r>
          </w:p>
        </w:tc>
        <w:tc>
          <w:tcPr>
            <w:tcW w:type="dxa" w:w="2016"/>
          </w:tcPr>
          <w:p>
            <w:r>
              <w:t>FMC</w:t>
            </w:r>
          </w:p>
        </w:tc>
        <w:tc>
          <w:tcPr>
            <w:tcW w:type="dxa" w:w="2016"/>
          </w:tcPr>
          <w:p>
            <w:r>
              <w:t>25.0</w:t>
            </w:r>
          </w:p>
        </w:tc>
        <w:tc>
          <w:tcPr>
            <w:tcW w:type="dxa" w:w="2016"/>
          </w:tcPr>
          <w:p>
            <w:r>
              <w:t>Drop</w:t>
            </w:r>
          </w:p>
        </w:tc>
        <w:tc>
          <w:tcPr>
            <w:tcW w:type="dxa" w:w="2016"/>
          </w:tcPr>
          <w:p>
            <w:r>
              <w:t>profitability_override is stale (Q2 2026 GAAP net loss of $187M), but FMC already secured a $400M strategic minority equity investment from Tessenderlo Group (announced June 30, 2026, inside the 6-month lookback) earmarked for debt paydown -- capital need already addressed.</w:t>
            </w:r>
          </w:p>
        </w:tc>
      </w:tr>
      <w:tr>
        <w:tc>
          <w:tcPr>
            <w:tcW w:type="dxa" w:w="2016"/>
          </w:tcPr>
          <w:p>
            <w:r>
              <w:t>Distress</w:t>
            </w:r>
          </w:p>
        </w:tc>
        <w:tc>
          <w:tcPr>
            <w:tcW w:type="dxa" w:w="2016"/>
          </w:tcPr>
          <w:p>
            <w:r>
              <w:t>EMBC</w:t>
            </w:r>
          </w:p>
        </w:tc>
        <w:tc>
          <w:tcPr>
            <w:tcW w:type="dxa" w:w="2016"/>
          </w:tcPr>
          <w:p>
            <w:r>
              <w:t>25.0</w:t>
            </w:r>
          </w:p>
        </w:tc>
        <w:tc>
          <w:tcPr>
            <w:tcW w:type="dxa" w:w="2016"/>
          </w:tcPr>
          <w:p>
            <w:r>
              <w:t>Drop</w:t>
            </w:r>
          </w:p>
        </w:tc>
        <w:tc>
          <w:tcPr>
            <w:tcW w:type="dxa" w:w="2016"/>
          </w:tcPr>
          <w:p>
            <w:r>
              <w:t>profitability_override is stale (Q2 2026 net loss, dividend cut from $0.15 to $0.01), but FY2026 free-cash-flow guidance of $95-105M self-funds an ongoing $150M debt-paydown plan; leverage in covenant compliance, no going concern found.</w:t>
            </w:r>
          </w:p>
        </w:tc>
      </w:tr>
      <w:tr>
        <w:tc>
          <w:tcPr>
            <w:tcW w:type="dxa" w:w="2016"/>
          </w:tcPr>
          <w:p>
            <w:r>
              <w:t>Distress</w:t>
            </w:r>
          </w:p>
        </w:tc>
        <w:tc>
          <w:tcPr>
            <w:tcW w:type="dxa" w:w="2016"/>
          </w:tcPr>
          <w:p>
            <w:r>
              <w:t>CCOI</w:t>
            </w:r>
          </w:p>
        </w:tc>
        <w:tc>
          <w:tcPr>
            <w:tcW w:type="dxa" w:w="2016"/>
          </w:tcPr>
          <w:p>
            <w:r>
              <w:t>25.0</w:t>
            </w:r>
          </w:p>
        </w:tc>
        <w:tc>
          <w:tcPr>
            <w:tcW w:type="dxa" w:w="2016"/>
          </w:tcPr>
          <w:p>
            <w:r>
              <w:t>Ambiguous</w:t>
            </w:r>
          </w:p>
        </w:tc>
        <w:tc>
          <w:tcPr>
            <w:tcW w:type="dxa" w:w="2016"/>
          </w:tcPr>
          <w:p>
            <w:r>
              <w:t>Genuine leverage stress (6.23x net debt/EBITDA) and a real dated maturity ($750M unsecured notes due June 2027) as its T-Mobile subsidy revenue winds down, and the dividend was already cut to $0.02/share -- but the revealed financing preference is asset sales and discounted debt buybacks (a $225M data-center sale, $138.8M of notes repurchased), not a signaled equity raise.</w:t>
            </w:r>
          </w:p>
        </w:tc>
      </w:tr>
      <w:tr>
        <w:tc>
          <w:tcPr>
            <w:tcW w:type="dxa" w:w="2016"/>
          </w:tcPr>
          <w:p>
            <w:r>
              <w:t>Distress</w:t>
            </w:r>
          </w:p>
        </w:tc>
        <w:tc>
          <w:tcPr>
            <w:tcW w:type="dxa" w:w="2016"/>
          </w:tcPr>
          <w:p>
            <w:r>
              <w:t>BRLT</w:t>
            </w:r>
          </w:p>
        </w:tc>
        <w:tc>
          <w:tcPr>
            <w:tcW w:type="dxa" w:w="2016"/>
          </w:tcPr>
          <w:p>
            <w:r>
              <w:t>25.0</w:t>
            </w:r>
          </w:p>
        </w:tc>
        <w:tc>
          <w:tcPr>
            <w:tcW w:type="dxa" w:w="2016"/>
          </w:tcPr>
          <w:p>
            <w:r>
              <w:t>Drop</w:t>
            </w:r>
          </w:p>
        </w:tc>
        <w:tc>
          <w:tcPr>
            <w:tcW w:type="dxa" w:w="2016"/>
          </w:tcPr>
          <w:p>
            <w:r>
              <w:t>profitability_override confirmed current: Q2 2026 GAAP net income positive and FY2026 adjusted EBITDA guidance raised; an earlier SVB covenant suspension (through Q1 2026) has already resolved, $75M cash and zero balance-sheet debt.</w:t>
            </w:r>
          </w:p>
        </w:tc>
      </w:tr>
      <w:tr>
        <w:tc>
          <w:tcPr>
            <w:tcW w:type="dxa" w:w="2016"/>
          </w:tcPr>
          <w:p>
            <w:r>
              <w:t>Distress</w:t>
            </w:r>
          </w:p>
        </w:tc>
        <w:tc>
          <w:tcPr>
            <w:tcW w:type="dxa" w:w="2016"/>
          </w:tcPr>
          <w:p>
            <w:r>
              <w:t>ALTG</w:t>
            </w:r>
          </w:p>
        </w:tc>
        <w:tc>
          <w:tcPr>
            <w:tcW w:type="dxa" w:w="2016"/>
          </w:tcPr>
          <w:p>
            <w:r>
              <w:t>25.0</w:t>
            </w:r>
          </w:p>
        </w:tc>
        <w:tc>
          <w:tcPr>
            <w:tcW w:type="dxa" w:w="2016"/>
          </w:tcPr>
          <w:p>
            <w:r>
              <w:t>Drop</w:t>
            </w:r>
          </w:p>
        </w:tc>
        <w:tc>
          <w:tcPr>
            <w:tcW w:type="dxa" w:w="2016"/>
          </w:tcPr>
          <w:p>
            <w:r>
              <w:t>profitability_override is stale (Q2 2026 net loss), but H1 2026 operating cash flow swung sharply positive ($26.1M vs. -$3.4M) and ~$308M remains undrawn on its $520M ABL facility -- substantial untapped debt capacity is a disqualifier; no going concern or covenant pressure found.</w:t>
            </w:r>
          </w:p>
        </w:tc>
      </w:tr>
      <w:tr>
        <w:tc>
          <w:tcPr>
            <w:tcW w:type="dxa" w:w="2016"/>
          </w:tcPr>
          <w:p>
            <w:r>
              <w:t>Distress</w:t>
            </w:r>
          </w:p>
        </w:tc>
        <w:tc>
          <w:tcPr>
            <w:tcW w:type="dxa" w:w="2016"/>
          </w:tcPr>
          <w:p>
            <w:r>
              <w:t>ALIT</w:t>
            </w:r>
          </w:p>
        </w:tc>
        <w:tc>
          <w:tcPr>
            <w:tcW w:type="dxa" w:w="2016"/>
          </w:tcPr>
          <w:p>
            <w:r>
              <w:t>25.0</w:t>
            </w:r>
          </w:p>
        </w:tc>
        <w:tc>
          <w:tcPr>
            <w:tcW w:type="dxa" w:w="2016"/>
          </w:tcPr>
          <w:p>
            <w:r>
              <w:t>Drop</w:t>
            </w:r>
          </w:p>
        </w:tc>
        <w:tc>
          <w:tcPr>
            <w:tcW w:type="dxa" w:w="2016"/>
          </w:tcPr>
          <w:p>
            <w:r>
              <w:t>profitability_override is stale (Q2 2026 GAAP net loss), but free cash flow is positive ($101M YTD), $330M of revolver capacity is fully undrawn, and the delisting risk already flagged by the screen was cured via a 1-for-20 reverse split completed June 30, 2026.</w:t>
            </w:r>
          </w:p>
        </w:tc>
      </w:tr>
      <w:tr>
        <w:tc>
          <w:tcPr>
            <w:tcW w:type="dxa" w:w="2016"/>
          </w:tcPr>
          <w:p>
            <w:r>
              <w:t>Distress</w:t>
            </w:r>
          </w:p>
        </w:tc>
        <w:tc>
          <w:tcPr>
            <w:tcW w:type="dxa" w:w="2016"/>
          </w:tcPr>
          <w:p>
            <w:r>
              <w:t>CABO</w:t>
            </w:r>
          </w:p>
        </w:tc>
        <w:tc>
          <w:tcPr>
            <w:tcW w:type="dxa" w:w="2016"/>
          </w:tcPr>
          <w:p>
            <w:r>
              <w:t>32.5</w:t>
            </w:r>
          </w:p>
        </w:tc>
        <w:tc>
          <w:tcPr>
            <w:tcW w:type="dxa" w:w="2016"/>
          </w:tcPr>
          <w:p>
            <w:r>
              <w:t>Drop</w:t>
            </w:r>
          </w:p>
        </w:tc>
        <w:tc>
          <w:tcPr>
            <w:tcW w:type="dxa" w:w="2016"/>
          </w:tcPr>
          <w:p>
            <w:r>
              <w:t>Dividend suspended in May 2025 is a real distress signal, and net loss is largely non-cash impairments, but management is actively repurchasing debt at a discount (revealed debt-buyback, not equity, preference); no going-concern or delisting signal found, and the nearest large maturity is still two years out (2028).</w:t>
            </w:r>
          </w:p>
        </w:tc>
      </w:tr>
      <w:tr>
        <w:tc>
          <w:tcPr>
            <w:tcW w:type="dxa" w:w="2016"/>
          </w:tcPr>
          <w:p>
            <w:r>
              <w:t>Distress</w:t>
            </w:r>
          </w:p>
        </w:tc>
        <w:tc>
          <w:tcPr>
            <w:tcW w:type="dxa" w:w="2016"/>
          </w:tcPr>
          <w:p>
            <w:r>
              <w:t>KROS</w:t>
            </w:r>
          </w:p>
        </w:tc>
        <w:tc>
          <w:tcPr>
            <w:tcW w:type="dxa" w:w="2016"/>
          </w:tcPr>
          <w:p>
            <w:r>
              <w:t>32.0</w:t>
            </w:r>
          </w:p>
        </w:tc>
        <w:tc>
          <w:tcPr>
            <w:tcW w:type="dxa" w:w="2016"/>
          </w:tcPr>
          <w:p>
            <w:r>
              <w:t>Drop</w:t>
            </w:r>
          </w:p>
        </w:tc>
        <w:tc>
          <w:tcPr>
            <w:tcW w:type="dxa" w:w="2016"/>
          </w:tcPr>
          <w:p>
            <w:r>
              <w:t>$257.6M cash against a roughly $29.8M half-year burn gives runway into H1 2028; essentially debt-free with no credit facility, no going-concern or delisting signal found.</w:t>
            </w:r>
          </w:p>
        </w:tc>
      </w:tr>
      <w:tr>
        <w:tc>
          <w:tcPr>
            <w:tcW w:type="dxa" w:w="2016"/>
          </w:tcPr>
          <w:p>
            <w:r>
              <w:t>Distress</w:t>
            </w:r>
          </w:p>
        </w:tc>
        <w:tc>
          <w:tcPr>
            <w:tcW w:type="dxa" w:w="2016"/>
          </w:tcPr>
          <w:p>
            <w:r>
              <w:t>AHCO</w:t>
            </w:r>
          </w:p>
        </w:tc>
        <w:tc>
          <w:tcPr>
            <w:tcW w:type="dxa" w:w="2016"/>
          </w:tcPr>
          <w:p>
            <w:r>
              <w:t>32.0</w:t>
            </w:r>
          </w:p>
        </w:tc>
        <w:tc>
          <w:tcPr>
            <w:tcW w:type="dxa" w:w="2016"/>
          </w:tcPr>
          <w:p>
            <w:r>
              <w:t>Drop</w:t>
            </w:r>
          </w:p>
        </w:tc>
        <w:tc>
          <w:tcPr>
            <w:tcW w:type="dxa" w:w="2016"/>
          </w:tcPr>
          <w:p>
            <w:r>
              <w:t>Just completed a $1.1B refinancing (April 2026, extending maturities to 2031) plus a $235M Diabetes Health divestiture (Feb 2026) providing ample liquidity -- a revealed debt/asset-sale financing preference; no going-concern signal found.</w:t>
            </w:r>
          </w:p>
        </w:tc>
      </w:tr>
      <w:tr>
        <w:tc>
          <w:tcPr>
            <w:tcW w:type="dxa" w:w="2016"/>
          </w:tcPr>
          <w:p>
            <w:r>
              <w:t>Distress</w:t>
            </w:r>
          </w:p>
        </w:tc>
        <w:tc>
          <w:tcPr>
            <w:tcW w:type="dxa" w:w="2016"/>
          </w:tcPr>
          <w:p>
            <w:r>
              <w:t>FLWS</w:t>
            </w:r>
          </w:p>
        </w:tc>
        <w:tc>
          <w:tcPr>
            <w:tcW w:type="dxa" w:w="2016"/>
          </w:tcPr>
          <w:p>
            <w:r>
              <w:t>31.8</w:t>
            </w:r>
          </w:p>
        </w:tc>
        <w:tc>
          <w:tcPr>
            <w:tcW w:type="dxa" w:w="2016"/>
          </w:tcPr>
          <w:p>
            <w:r>
              <w:t>Drop</w:t>
            </w:r>
          </w:p>
        </w:tc>
        <w:tc>
          <w:tcPr>
            <w:tcW w:type="dxa" w:w="2016"/>
          </w:tcPr>
          <w:p>
            <w:r>
              <w:t>Q2 2026 EPS beat estimates and the company remains marginally profitable; manageable net debt position, no going-concern or delisting signal found despite the revenue decline.</w:t>
            </w:r>
          </w:p>
        </w:tc>
      </w:tr>
      <w:tr>
        <w:tc>
          <w:tcPr>
            <w:tcW w:type="dxa" w:w="2016"/>
          </w:tcPr>
          <w:p>
            <w:r>
              <w:t>Distress</w:t>
            </w:r>
          </w:p>
        </w:tc>
        <w:tc>
          <w:tcPr>
            <w:tcW w:type="dxa" w:w="2016"/>
          </w:tcPr>
          <w:p>
            <w:r>
              <w:t>NPWR</w:t>
            </w:r>
          </w:p>
        </w:tc>
        <w:tc>
          <w:tcPr>
            <w:tcW w:type="dxa" w:w="2016"/>
          </w:tcPr>
          <w:p>
            <w:r>
              <w:t>31.5</w:t>
            </w:r>
          </w:p>
        </w:tc>
        <w:tc>
          <w:tcPr>
            <w:tcW w:type="dxa" w:w="2016"/>
          </w:tcPr>
          <w:p>
            <w:r>
              <w:t>Keep</w:t>
            </w:r>
          </w:p>
        </w:tc>
        <w:tc>
          <w:tcPr>
            <w:tcW w:type="dxa" w:w="2016"/>
          </w:tcPr>
          <w:p>
            <w:r>
              <w:t>Pre-revenue clean-power developer with $310M cash and zero debt, but management has explicitly targeted a $125-175M equity investment for Project Permian Phase 1 ($475-575M total installed cost) ahead of a final investment decision targeted for H2 2026 -- a concrete, dated, company-stated equity need. One-pager written.</w:t>
            </w:r>
          </w:p>
        </w:tc>
      </w:tr>
      <w:tr>
        <w:tc>
          <w:tcPr>
            <w:tcW w:type="dxa" w:w="2016"/>
          </w:tcPr>
          <w:p>
            <w:r>
              <w:t>Distress</w:t>
            </w:r>
          </w:p>
        </w:tc>
        <w:tc>
          <w:tcPr>
            <w:tcW w:type="dxa" w:w="2016"/>
          </w:tcPr>
          <w:p>
            <w:r>
              <w:t>WD</w:t>
            </w:r>
          </w:p>
        </w:tc>
        <w:tc>
          <w:tcPr>
            <w:tcW w:type="dxa" w:w="2016"/>
          </w:tcPr>
          <w:p>
            <w:r>
              <w:t>31.2</w:t>
            </w:r>
          </w:p>
        </w:tc>
        <w:tc>
          <w:tcPr>
            <w:tcW w:type="dxa" w:w="2016"/>
          </w:tcPr>
          <w:p>
            <w:r>
              <w:t>Drop</w:t>
            </w:r>
          </w:p>
        </w:tc>
        <w:tc>
          <w:tcPr>
            <w:tcW w:type="dxa" w:w="2016"/>
          </w:tcPr>
          <w:p>
            <w:r>
              <w:t>Reported net income collapsed 90.9% YoY on mortgage-market headwinds and the dividend payout ratio (131%) looks unsustainable, but no going-concern or delisting signal was found and the nearest term-loan maturity is not until December 2028; a cyclical earnings story, not a capital-structure one.</w:t>
            </w:r>
          </w:p>
        </w:tc>
      </w:tr>
      <w:tr>
        <w:tc>
          <w:tcPr>
            <w:tcW w:type="dxa" w:w="2016"/>
          </w:tcPr>
          <w:p>
            <w:r>
              <w:t>Distress</w:t>
            </w:r>
          </w:p>
        </w:tc>
        <w:tc>
          <w:tcPr>
            <w:tcW w:type="dxa" w:w="2016"/>
          </w:tcPr>
          <w:p>
            <w:r>
              <w:t>RBBN</w:t>
            </w:r>
          </w:p>
        </w:tc>
        <w:tc>
          <w:tcPr>
            <w:tcW w:type="dxa" w:w="2016"/>
          </w:tcPr>
          <w:p>
            <w:r>
              <w:t>31.2</w:t>
            </w:r>
          </w:p>
        </w:tc>
        <w:tc>
          <w:tcPr>
            <w:tcW w:type="dxa" w:w="2016"/>
          </w:tcPr>
          <w:p>
            <w:r>
              <w:t>Keep</w:t>
            </w:r>
          </w:p>
        </w:tc>
        <w:tc>
          <w:tcPr>
            <w:tcW w:type="dxa" w:w="2016"/>
          </w:tcPr>
          <w:p>
            <w:r>
              <w:t>Cash fell from $67.6M to $43.5M in a single quarter (Q2 2026) on a sharply widened H1 operating burn ($33.5M vs. $4.3M prior year), its $350M term loan is fully drawn, and a May 2026 covenant waiver raised the maximum leverage ceiling to 4.50x -- real, recent covenant stress with no shelf/ATM in place. One-pager written.</w:t>
            </w:r>
          </w:p>
        </w:tc>
      </w:tr>
      <w:tr>
        <w:tc>
          <w:tcPr>
            <w:tcW w:type="dxa" w:w="2016"/>
          </w:tcPr>
          <w:p>
            <w:r>
              <w:t>Distress</w:t>
            </w:r>
          </w:p>
        </w:tc>
        <w:tc>
          <w:tcPr>
            <w:tcW w:type="dxa" w:w="2016"/>
          </w:tcPr>
          <w:p>
            <w:r>
              <w:t>IIIV</w:t>
            </w:r>
          </w:p>
        </w:tc>
        <w:tc>
          <w:tcPr>
            <w:tcW w:type="dxa" w:w="2016"/>
          </w:tcPr>
          <w:p>
            <w:r>
              <w:t>31.2</w:t>
            </w:r>
          </w:p>
        </w:tc>
        <w:tc>
          <w:tcPr>
            <w:tcW w:type="dxa" w:w="2016"/>
          </w:tcPr>
          <w:p>
            <w:r>
              <w:t>Drop</w:t>
            </w:r>
          </w:p>
        </w:tc>
        <w:tc>
          <w:tcPr>
            <w:tcW w:type="dxa" w:w="2016"/>
          </w:tcPr>
          <w:p>
            <w:r>
              <w:t>Despite thin standalone cash ($2.6M as of Q3 2026), $285.7M remains undrawn on its $400M revolving credit facility -- substantial untapped debt capacity is a disqualifier under the distress-screen's reversed financing-preference test.</w:t>
            </w:r>
          </w:p>
        </w:tc>
      </w:tr>
      <w:tr>
        <w:tc>
          <w:tcPr>
            <w:tcW w:type="dxa" w:w="2016"/>
          </w:tcPr>
          <w:p>
            <w:r>
              <w:t>Distress</w:t>
            </w:r>
          </w:p>
        </w:tc>
        <w:tc>
          <w:tcPr>
            <w:tcW w:type="dxa" w:w="2016"/>
          </w:tcPr>
          <w:p>
            <w:r>
              <w:t>QSI</w:t>
            </w:r>
          </w:p>
        </w:tc>
        <w:tc>
          <w:tcPr>
            <w:tcW w:type="dxa" w:w="2016"/>
          </w:tcPr>
          <w:p>
            <w:r>
              <w:t>31.0</w:t>
            </w:r>
          </w:p>
        </w:tc>
        <w:tc>
          <w:tcPr>
            <w:tcW w:type="dxa" w:w="2016"/>
          </w:tcPr>
          <w:p>
            <w:r>
              <w:t>Drop</w:t>
            </w:r>
          </w:p>
        </w:tc>
        <w:tc>
          <w:tcPr>
            <w:tcW w:type="dxa" w:w="2016"/>
          </w:tcPr>
          <w:p>
            <w:r>
              <w:t>$169.9M of cash and marketable securities, debt-free, cash runway guided into Q4 2028, and a $100M ATM facility in place with zero shares sold -- ample existing liquidity and financing access, no distress signal.</w:t>
            </w:r>
          </w:p>
        </w:tc>
      </w:tr>
      <w:tr>
        <w:tc>
          <w:tcPr>
            <w:tcW w:type="dxa" w:w="2016"/>
          </w:tcPr>
          <w:p>
            <w:r>
              <w:t>Distress</w:t>
            </w:r>
          </w:p>
        </w:tc>
        <w:tc>
          <w:tcPr>
            <w:tcW w:type="dxa" w:w="2016"/>
          </w:tcPr>
          <w:p>
            <w:r>
              <w:t>SJT</w:t>
            </w:r>
          </w:p>
        </w:tc>
        <w:tc>
          <w:tcPr>
            <w:tcW w:type="dxa" w:w="2016"/>
          </w:tcPr>
          <w:p>
            <w:r>
              <w:t>30.5</w:t>
            </w:r>
          </w:p>
        </w:tc>
        <w:tc>
          <w:tcPr>
            <w:tcW w:type="dxa" w:w="2016"/>
          </w:tcPr>
          <w:p>
            <w:r>
              <w:t>Drop</w:t>
            </w:r>
          </w:p>
        </w:tc>
        <w:tc>
          <w:tcPr>
            <w:tcW w:type="dxa" w:w="2016"/>
          </w:tcPr>
          <w:p>
            <w:r>
              <w:t>A passive oil &amp; gas royalty trust that cannot issue new equity units under its trust indenture -- going-concern language notwithstanding (cumulative excess production costs have suspended distributions), the vehicle is structurally not a viable candidate for an equity capital raise; data-quality flag for the screen.</w:t>
            </w:r>
          </w:p>
        </w:tc>
      </w:tr>
      <w:tr>
        <w:tc>
          <w:tcPr>
            <w:tcW w:type="dxa" w:w="2016"/>
          </w:tcPr>
          <w:p>
            <w:r>
              <w:t>Distress</w:t>
            </w:r>
          </w:p>
        </w:tc>
        <w:tc>
          <w:tcPr>
            <w:tcW w:type="dxa" w:w="2016"/>
          </w:tcPr>
          <w:p>
            <w:r>
              <w:t>SION</w:t>
            </w:r>
          </w:p>
        </w:tc>
        <w:tc>
          <w:tcPr>
            <w:tcW w:type="dxa" w:w="2016"/>
          </w:tcPr>
          <w:p>
            <w:r>
              <w:t>30.5</w:t>
            </w:r>
          </w:p>
        </w:tc>
        <w:tc>
          <w:tcPr>
            <w:tcW w:type="dxa" w:w="2016"/>
          </w:tcPr>
          <w:p>
            <w:r>
              <w:t>Drop</w:t>
            </w:r>
          </w:p>
        </w:tc>
        <w:tc>
          <w:tcPr>
            <w:tcW w:type="dxa" w:w="2016"/>
          </w:tcPr>
          <w:p>
            <w:r>
              <w:t>$268.3M cash with runway into 2028, debt-free, and a $250M unused ATM facility already provide financing access; the stock's 92% single-day drop (Aug 10, 2026) followed a Phase 2 trial failure, making this a particularly poor moment to pitch a raise regardless of the balance sheet.</w:t>
            </w:r>
          </w:p>
        </w:tc>
      </w:tr>
      <w:tr>
        <w:tc>
          <w:tcPr>
            <w:tcW w:type="dxa" w:w="2016"/>
          </w:tcPr>
          <w:p>
            <w:r>
              <w:t>Distress</w:t>
            </w:r>
          </w:p>
        </w:tc>
        <w:tc>
          <w:tcPr>
            <w:tcW w:type="dxa" w:w="2016"/>
          </w:tcPr>
          <w:p>
            <w:r>
              <w:t>OPRX</w:t>
            </w:r>
          </w:p>
        </w:tc>
        <w:tc>
          <w:tcPr>
            <w:tcW w:type="dxa" w:w="2016"/>
          </w:tcPr>
          <w:p>
            <w:r>
              <w:t>30.5</w:t>
            </w:r>
          </w:p>
        </w:tc>
        <w:tc>
          <w:tcPr>
            <w:tcW w:type="dxa" w:w="2016"/>
          </w:tcPr>
          <w:p>
            <w:r>
              <w:t>Drop</w:t>
            </w:r>
          </w:p>
        </w:tc>
        <w:tc>
          <w:tcPr>
            <w:tcW w:type="dxa" w:w="2016"/>
          </w:tcPr>
          <w:p>
            <w:r>
              <w:t>Positive H1 2026 operating cash flow ($8.1M) and active debt paydown ($5.3M in Q2 plus $3M post-quarter) show a self-funding, deleveraging posture; refinanced credit facility carries an undrawn revolver, active $40M shelf, no going-concern signal found.</w:t>
            </w:r>
          </w:p>
        </w:tc>
      </w:tr>
      <w:tr>
        <w:tc>
          <w:tcPr>
            <w:tcW w:type="dxa" w:w="2016"/>
          </w:tcPr>
          <w:p>
            <w:r>
              <w:t>Distress</w:t>
            </w:r>
          </w:p>
        </w:tc>
        <w:tc>
          <w:tcPr>
            <w:tcW w:type="dxa" w:w="2016"/>
          </w:tcPr>
          <w:p>
            <w:r>
              <w:t>MPLT</w:t>
            </w:r>
          </w:p>
        </w:tc>
        <w:tc>
          <w:tcPr>
            <w:tcW w:type="dxa" w:w="2016"/>
          </w:tcPr>
          <w:p>
            <w:r>
              <w:t>30.5</w:t>
            </w:r>
          </w:p>
        </w:tc>
        <w:tc>
          <w:tcPr>
            <w:tcW w:type="dxa" w:w="2016"/>
          </w:tcPr>
          <w:p>
            <w:r>
              <w:t>Drop</w:t>
            </w:r>
          </w:p>
        </w:tc>
        <w:tc>
          <w:tcPr>
            <w:tcW w:type="dxa" w:w="2016"/>
          </w:tcPr>
          <w:p>
            <w:r>
              <w:t>Closed a $150M private placement in August 2026, inside the 6-month lookback window -- a hard disqualifier; also debt-free with $351.3M cash and runway guided through 2028 including that raise.</w:t>
            </w:r>
          </w:p>
        </w:tc>
      </w:tr>
      <w:tr>
        <w:tc>
          <w:tcPr>
            <w:tcW w:type="dxa" w:w="2016"/>
          </w:tcPr>
          <w:p>
            <w:r>
              <w:t>Distress</w:t>
            </w:r>
          </w:p>
        </w:tc>
        <w:tc>
          <w:tcPr>
            <w:tcW w:type="dxa" w:w="2016"/>
          </w:tcPr>
          <w:p>
            <w:r>
              <w:t>FULC</w:t>
            </w:r>
          </w:p>
        </w:tc>
        <w:tc>
          <w:tcPr>
            <w:tcW w:type="dxa" w:w="2016"/>
          </w:tcPr>
          <w:p>
            <w:r>
              <w:t>30.5</w:t>
            </w:r>
          </w:p>
        </w:tc>
        <w:tc>
          <w:tcPr>
            <w:tcW w:type="dxa" w:w="2016"/>
          </w:tcPr>
          <w:p>
            <w:r>
              <w:t>Drop</w:t>
            </w:r>
          </w:p>
        </w:tc>
        <w:tc>
          <w:tcPr>
            <w:tcW w:type="dxa" w:w="2016"/>
          </w:tcPr>
          <w:p>
            <w:r>
              <w:t>A pending merger (special ~$270M dividend already declared, close expected Q4 2026) makes an independent equity-raise thesis moot; also debt-free with $318.8M cash and a multi-year runway even absent the deal.</w:t>
            </w:r>
          </w:p>
        </w:tc>
      </w:tr>
      <w:tr>
        <w:tc>
          <w:tcPr>
            <w:tcW w:type="dxa" w:w="2016"/>
          </w:tcPr>
          <w:p>
            <w:r>
              <w:t>Distress</w:t>
            </w:r>
          </w:p>
        </w:tc>
        <w:tc>
          <w:tcPr>
            <w:tcW w:type="dxa" w:w="2016"/>
          </w:tcPr>
          <w:p>
            <w:r>
              <w:t>WOOF</w:t>
            </w:r>
          </w:p>
        </w:tc>
        <w:tc>
          <w:tcPr>
            <w:tcW w:type="dxa" w:w="2016"/>
          </w:tcPr>
          <w:p>
            <w:r>
              <w:t>30.2</w:t>
            </w:r>
          </w:p>
        </w:tc>
        <w:tc>
          <w:tcPr>
            <w:tcW w:type="dxa" w:w="2016"/>
          </w:tcPr>
          <w:p>
            <w:r>
              <w:t>Drop</w:t>
            </w:r>
          </w:p>
        </w:tc>
        <w:tc>
          <w:tcPr>
            <w:tcW w:type="dxa" w:w="2016"/>
          </w:tcPr>
          <w:p>
            <w:r>
              <w:t>Returned to full-year profitability (FY2026 net income $9.07M) and already refinanced its debt structure in Jan 2026 ($600M senior secured notes plus term loan, both maturing 2031) without any equity component; net debt/EBITDA improving to 3.0x from 4.2x.</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2026-08-31T01:15:28.055Z</dcterms:created>
  <dcterms:modified xsi:type="dcterms:W3CDTF">2026-08-31T01:15:28.055Z</dcterms:modified>
</cp:coreProperties>
</file>

<file path=docProps/custom.xml><?xml version="1.0" encoding="utf-8"?>
<Properties xmlns="http://schemas.openxmlformats.org/officeDocument/2006/custom-properties" xmlns:vt="http://schemas.openxmlformats.org/officeDocument/2006/docPropsVTypes"/>
</file>