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AMTX — Aemetis Inc</w:t>
      </w:r>
    </w:p>
    <w:p>
      <w:pPr>
        <w:pBdr>
          <w:bottom w:val="single" w:color="1F3864" w:sz="8" w:space="4"/>
        </w:pBdr>
        <w:spacing w:after="200"/>
      </w:pPr>
      <w:r>
        <w:rPr>
          <w:i/>
          <w:iCs/>
          <w:color w:val="444444"/>
          <w:sz w:val="22"/>
          <w:szCs w:val="22"/>
        </w:rPr>
        <w:t xml:space="preserve">Industrials / Major Chemicals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Current Market Cap:  </w:t>
      </w:r>
      <w:r>
        <w:rPr>
          <w:sz w:val="22"/>
          <w:szCs w:val="22"/>
        </w:rPr>
        <w:t xml:space="preserve">$134.2M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Proposed Raise Size:  </w:t>
      </w:r>
      <w:r>
        <w:rPr>
          <w:sz w:val="22"/>
          <w:szCs w:val="22"/>
        </w:rPr>
        <w:t xml:space="preserve">$53.7M (40.0% of market cap)</w:t>
      </w:r>
    </w:p>
    <w:p>
      <w:pPr>
        <w:pStyle w:val="Heading2"/>
        <w:spacing w:after="120" w:before="200"/>
      </w:pPr>
      <w:r>
        <w:t xml:space="preserve">Thesis</w:t>
      </w:r>
    </w:p>
    <w:p>
      <w:pPr>
        <w:spacing w:after="200"/>
      </w:pPr>
      <w:r>
        <w:rPr>
          <w:sz w:val="22"/>
          <w:szCs w:val="22"/>
        </w:rPr>
        <w:t xml:space="preserve">Aemetis' Q1 and Q2 2026 10-Qs disclose management's substantial doubt about the company's ability to continue as a going concern absent refinancing, additional financing, and lender cooperation. Cash was just $3.5 million at June 30, 2026 against total debt of $415.9 million, of which $354.2 million is now classified as a current liability -- meaning more than 85% of the company's entire debt load has effectively become due within twelve months. Stockholders' deficit stood at $322.1 million. The company is not profitable on a net basis (H1 2026 net loss $31.1 million, though operating income turned positive in Q2 at $5.8 million) and pays no dividend. No registered equity offering or private placement was found in the trailing six months.</w:t>
      </w:r>
    </w:p>
    <w:p>
      <w:pPr>
        <w:pStyle w:val="Heading2"/>
        <w:spacing w:after="120" w:before="200"/>
      </w:pPr>
      <w:r>
        <w:t xml:space="preserve">Use of Proceeds</w:t>
      </w:r>
    </w:p>
    <w:p>
      <w:pPr>
        <w:spacing w:after="200"/>
      </w:pPr>
      <w:r>
        <w:rPr>
          <w:sz w:val="22"/>
          <w:szCs w:val="22"/>
        </w:rPr>
        <w:t xml:space="preserve">Proceeds would go toward curing the near-term debt classification problem -- either as a direct paydown of the highest-priority current obligations or as equity support attached to a broader refinancing of the AB1 Term Loan ($185.4 million at 9.25%) and other current debt -- to move the balance sheet back toward a sustainable long-term maturity profile.</w:t>
      </w:r>
    </w:p>
    <w:p>
      <w:pPr>
        <w:pStyle w:val="Heading2"/>
        <w:spacing w:after="120" w:before="200"/>
      </w:pPr>
      <w:r>
        <w:t xml:space="preserve">Timing</w:t>
      </w:r>
    </w:p>
    <w:p>
      <w:pPr>
        <w:spacing w:after="200"/>
      </w:pPr>
      <w:r>
        <w:rPr>
          <w:sz w:val="22"/>
          <w:szCs w:val="22"/>
        </w:rPr>
        <w:t xml:space="preserve">The $354.2 million reclassification to current liabilities is effectively a company-wide covenant/maturity event happening now, not on some future date -- management's own filings tie continued operation explicitly to completing refinancing and securing lender cooperation in the near term.</w:t>
      </w:r>
    </w:p>
    <w:p>
      <w:pPr>
        <w:pStyle w:val="Heading2"/>
        <w:spacing w:after="120" w:before="200"/>
      </w:pPr>
      <w:r>
        <w:t xml:space="preserve">Why Raise Now</w:t>
      </w:r>
    </w:p>
    <w:p>
      <w:pPr>
        <w:spacing w:after="200"/>
      </w:pPr>
      <w:r>
        <w:rPr>
          <w:sz w:val="22"/>
          <w:szCs w:val="22"/>
        </w:rPr>
        <w:t xml:space="preserve">With cash at $3.5 million against $354.2 million of current debt, the choice is not between raising now or raising later on better terms -- it is between raising now (as part of a negotiated refinancing) or risking a lender-forced outcome (default, covenant enforcement, or a much more dilutive rescue financing) that would be considerably worse for existing shareholders than an equity raise executed today.</w:t>
      </w:r>
    </w:p>
    <w:p>
      <w:pPr>
        <w:pStyle w:val="Heading2"/>
        <w:spacing w:after="120" w:before="200"/>
      </w:pPr>
      <w:r>
        <w:t xml:space="preserve">Risks to the Pitch</w:t>
      </w:r>
    </w:p>
    <w:p>
      <w:pPr>
        <w:spacing w:after="200"/>
      </w:pPr>
      <w:r>
        <w:rPr>
          <w:sz w:val="22"/>
          <w:szCs w:val="22"/>
        </w:rPr>
        <w:t xml:space="preserve">A $53.7 million raise, even capped at 40% of market cap, is small relative to the $354.2 million of current debt that actually needs to be addressed -- this would need to be one component of a negotiated lender/refinancing package, not a standalone fix, and pitching it as sufficient on its own would overstate what it accomplishes. Going-concern, stockholders'-deficit companies are also difficult primary-offering candidates; the more realistic outcome may be a structured/lender-driven recapitalization rather than a clean underwritten equity deal, and pricing would likely reflect the distress.</w:t>
      </w:r>
    </w:p>
    <w:p>
      <w:pPr>
        <w:pStyle w:val="Heading2"/>
        <w:spacing w:after="120" w:before="200"/>
      </w:pPr>
      <w:r>
        <w:t xml:space="preserve">Summary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800"/>
        <w:gridCol w:w="1800"/>
        <w:gridCol w:w="2340"/>
      </w:tblGrid>
      <w:tr>
        <w:tc>
          <w:tcPr>
            <w:tcW w:type="dxa" w:w="16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Ticker</w:t>
            </w:r>
          </w:p>
        </w:tc>
        <w:tc>
          <w:tcPr>
            <w:tcW w:type="dxa" w:w="20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Market Cap</w:t>
            </w:r>
          </w:p>
        </w:tc>
        <w:tc>
          <w:tcPr>
            <w:tcW w:type="dxa" w:w="18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Raise Size</w:t>
            </w:r>
          </w:p>
        </w:tc>
        <w:tc>
          <w:tcPr>
            <w:tcW w:type="dxa" w:w="18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of Market Cap</w:t>
            </w:r>
          </w:p>
        </w:tc>
        <w:tc>
          <w:tcPr>
            <w:tcW w:type="dxa" w:w="234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Urgency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  <w:sz w:val="20"/>
                <w:szCs w:val="20"/>
              </w:rPr>
              <w:t xml:space="preserve">AMTX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$134.2M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$53.7M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40.0%</w:t>
            </w:r>
          </w:p>
        </w:tc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160"/>
      </w:pPr>
      <w:r>
        <w:rPr>
          <w:i/>
          <w:iCs/>
          <w:color w:val="444444"/>
          <w:sz w:val="20"/>
          <w:szCs w:val="20"/>
        </w:rPr>
        <w:t xml:space="preserve">Note: Researched need (addressing $354.2M of current/near-term debt) materially exceeds the 40%-of-market-cap sizing cap; sized at the cap per policy and flagged explicitly.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2026-08-31T01:13:14.091Z</dcterms:created>
  <dcterms:modified xsi:type="dcterms:W3CDTF">2026-08-31T01:13:14.092Z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