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BXBL — BOXABL Inc.</w:t>
      </w:r>
    </w:p>
    <w:p>
      <w:pPr>
        <w:spacing w:after="200"/>
      </w:pPr>
      <w:r>
        <w:rPr>
          <w:i/>
          <w:iCs/>
          <w:color w:val="555555"/>
        </w:rPr>
        <w:t xml:space="preserve">Consumer Discretionary / Homebuilding</w:t>
      </w:r>
    </w:p>
    <w:p>
      <w:pPr>
        <w:spacing w:after="60"/>
      </w:pPr>
      <w:r>
        <w:rPr>
          <w:b/>
          <w:bCs/>
        </w:rPr>
        <w:t xml:space="preserve">Current Market Cap: </w:t>
      </w:r>
      <w:r>
        <w:t xml:space="preserve">$968.4M</w:t>
      </w:r>
    </w:p>
    <w:p>
      <w:pPr>
        <w:spacing w:after="60"/>
      </w:pPr>
      <w:r>
        <w:rPr>
          <w:b/>
          <w:bCs/>
        </w:rPr>
        <w:t xml:space="preserve">Proposed Raise Size: </w:t>
      </w:r>
      <w:r>
        <w:t xml:space="preserve">$75.0M (7.7% of market cap)</w:t>
      </w:r>
    </w:p>
    <w:p>
      <w:pPr>
        <w:pStyle w:val="Heading1"/>
        <w:spacing w:after="120" w:before="240"/>
      </w:pPr>
      <w:r>
        <w:rPr>
          <w:b/>
          <w:bCs/>
        </w:rPr>
        <w:t xml:space="preserve">Thesis</w:t>
      </w:r>
    </w:p>
    <w:p>
      <w:pPr>
        <w:spacing w:after="160"/>
      </w:pPr>
      <w:r>
        <w:t xml:space="preserve">BOXABL's most recent 10-Q (period ended March 31, 2026) discloses explicit going-concern language: absent additional liquidity, the company states it will require additional capital over the next twelve months to fund operations. Cash stood at just $22 million as of March 31, 2026 against an annual operating burn of roughly $40 million, implying a runway of well under a year on an unchanged trajectory. The balance sheet carries an accumulated deficit of $776 million and, notably, zero debt -- BOXABL has not drawn on any credit facility, so there is no revolver or term loan to point to as an alternative source of near-term liquidity. The company is pre-scale on revenue (2025 revenue was only $1.5 million, down from $3.4 million in 2024) following a SPAC merger that closed July 23, 2026 but raised only about $14 million of new cash versus an initial $20-40 million target -- a soft landing that left the balance sheet thinner than management likely planned. A late NT 10-Q filing (filed August 17, 2026) is an additional compliance-strain signal layered on top of the liquidity picture. No primary equity offering or PIPE was identified in the trailing six months.</w:t>
      </w:r>
    </w:p>
    <w:p>
      <w:pPr>
        <w:pStyle w:val="Heading1"/>
        <w:spacing w:after="120" w:before="240"/>
      </w:pPr>
      <w:r>
        <w:rPr>
          <w:b/>
          <w:bCs/>
        </w:rPr>
        <w:t xml:space="preserve">Use of Proceeds</w:t>
      </w:r>
    </w:p>
    <w:p>
      <w:pPr>
        <w:spacing w:after="160"/>
      </w:pPr>
      <w:r>
        <w:t xml:space="preserve">Fund operating burn and working capital through the next production and delivery ramp cycle for BOXABL's factory-built modular housing units, covering payroll, component/input costs, and continued build-out of manufacturing capacity, rather than a discrete one-time capital project.</w:t>
      </w:r>
    </w:p>
    <w:p>
      <w:pPr>
        <w:pStyle w:val="Heading1"/>
        <w:spacing w:after="120" w:before="240"/>
      </w:pPr>
      <w:r>
        <w:rPr>
          <w:b/>
          <w:bCs/>
        </w:rPr>
        <w:t xml:space="preserve">Timing</w:t>
      </w:r>
    </w:p>
    <w:p>
      <w:pPr>
        <w:spacing w:after="160"/>
      </w:pPr>
      <w:r>
        <w:t xml:space="preserve">The company's own 10-Q frames this as a twelve-month problem starting from the March 31, 2026 balance-sheet date -- on the disclosed $40 million annual burn rate against $22 million of cash, BOXABL runs out of runway well before that twelve-month window closes absent new financing. The company just became shelf-eligible: a $500 million shelf registration was filed July 27, 2026 and went effective August 10, 2026, giving management a ready mechanism to execute a primary raise essentially immediately.</w:t>
      </w:r>
    </w:p>
    <w:p>
      <w:pPr>
        <w:pStyle w:val="Heading1"/>
        <w:spacing w:after="120" w:before="240"/>
      </w:pPr>
      <w:r>
        <w:rPr>
          <w:b/>
          <w:bCs/>
        </w:rPr>
        <w:t xml:space="preserve">Why Raise Now</w:t>
      </w:r>
    </w:p>
    <w:p>
      <w:pPr>
        <w:spacing w:after="160"/>
      </w:pPr>
      <w:r>
        <w:t xml:space="preserve">With zero debt outstanding, BOXABL has no credit facility to draw down as a bridge -- equity (or an equity-linked instrument off the new shelf) is the only near-term financing lever available. Waiting risks the going-concern disclosure hardening further in the next 10-Q, which would make any future raise more dilutive and harder to price than one executed while the shelf is freshly effective and before the cash position deteriorates further.</w:t>
      </w:r>
    </w:p>
    <w:p>
      <w:pPr>
        <w:pStyle w:val="Heading1"/>
        <w:spacing w:after="120" w:before="240"/>
      </w:pPr>
      <w:r>
        <w:rPr>
          <w:b/>
          <w:bCs/>
        </w:rPr>
        <w:t xml:space="preserve">Risks to the Pitch</w:t>
      </w:r>
    </w:p>
    <w:p>
      <w:pPr>
        <w:spacing w:after="160"/>
      </w:pPr>
      <w:r>
        <w:t xml:space="preserve">The July 2026 SPAC merger already undershot its own capital-raise target by roughly $6-26 million, suggesting the market's appetite for BOXABL equity at scale is untested and possibly soft; a follow-on so soon after a disappointing de-SPAC raise may be difficult to price without meaningful discount. The late NT 10-Q filing adds a compliance overhang that some investors will read as a governance red flag independent of the liquidity story. And at pre-revenue scale ($1.5 million of 2025 revenue against a $968 million market cap), the equity story rests almost entirely on the housing-manufacturing narrative rather than demonstrated unit economics, which is a harder sell than a growth-stage raise with visible revenue traction.</w:t>
      </w:r>
    </w:p>
    <w:p>
      <w:pPr>
        <w:pStyle w:val="Heading1"/>
        <w:spacing w:after="120" w:before="240"/>
      </w:pPr>
      <w:r>
        <w:rPr>
          <w:b/>
          <w:bCs/>
        </w:rPr>
        <w:t xml:space="preserve">Summary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2200"/>
        <w:gridCol w:w="1848"/>
      </w:tblGrid>
      <w:tr>
        <w:tc>
          <w:tcPr>
            <w:tcW w:type="dxa" w:w="1600"/>
            <w:shd w:fill="D9E2F3" w:val="clear"/>
          </w:tcPr>
          <w:p>
            <w:r>
              <w:rPr>
                <w:b/>
                <w:bCs/>
              </w:rPr>
              <w:t xml:space="preserve">Ticker</w:t>
            </w:r>
          </w:p>
        </w:tc>
        <w:tc>
          <w:tcPr>
            <w:tcW w:type="dxa" w:w="2000"/>
            <w:shd w:fill="D9E2F3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2000"/>
            <w:shd w:fill="D9E2F3" w:val="clear"/>
          </w:tcPr>
          <w:p>
            <w:r>
              <w:rPr>
                <w:b/>
                <w:bCs/>
              </w:rPr>
              <w:t xml:space="preserve">Raise Size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% of Market Cap</w:t>
            </w:r>
          </w:p>
        </w:tc>
        <w:tc>
          <w:tcPr>
            <w:tcW w:type="dxa" w:w="1848"/>
            <w:shd w:fill="D9E2F3" w:val="clear"/>
          </w:tcPr>
          <w:p>
            <w:r>
              <w:rPr>
                <w:b/>
                <w:bCs/>
              </w:rPr>
              <w:t xml:space="preserve">Urgency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BXBL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$968.4M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$75.0M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7.7%</w:t>
            </w:r>
          </w:p>
        </w:tc>
        <w:tc>
          <w:tcPr>
            <w:tcW w:type="dxa" w:w="1848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2026-08-31T10:45:50.115Z</dcterms:created>
  <dcterms:modified xsi:type="dcterms:W3CDTF">2026-08-31T10:45:50.115Z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