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RBBN — Ribbon Communications Inc.</w:t>
      </w:r>
    </w:p>
    <w:p>
      <w:r>
        <w:rPr>
          <w:i/>
          <w:sz w:val="22"/>
        </w:rPr>
        <w:t>Technology / EDP Services</w:t>
      </w:r>
    </w:p>
    <w:p>
      <w:r>
        <w:rPr>
          <w:b/>
          <w:sz w:val="22"/>
        </w:rPr>
        <w:t xml:space="preserve">Current Market Cap:   </w:t>
      </w:r>
      <w:r>
        <w:rPr>
          <w:sz w:val="22"/>
        </w:rPr>
        <w:t>$363.0M</w:t>
      </w:r>
    </w:p>
    <w:p>
      <w:r>
        <w:rPr>
          <w:b/>
          <w:sz w:val="22"/>
        </w:rPr>
        <w:t xml:space="preserve">Proposed Raise Size:   </w:t>
      </w:r>
      <w:r>
        <w:rPr>
          <w:sz w:val="22"/>
        </w:rPr>
        <w:t>$75.0M (20.7% of market cap)</w:t>
      </w:r>
    </w:p>
    <w:p>
      <w:pPr>
        <w:pStyle w:val="Heading2"/>
      </w:pPr>
      <w:r>
        <w:t>Thesis</w:t>
      </w:r>
    </w:p>
    <w:p>
      <w:r>
        <w:rPr>
          <w:sz w:val="22"/>
        </w:rPr>
        <w:t>Ribbon's cash fell from $67.6M to $43.5M in a single quarter (Q2 2026) as operating cash burn widened to $33.5M for H1 2026 (versus just $4.3M in H1 2025), while its $350M term loan is fully drawn under a $385M credit facility. In May 2026 the company obtained a covenant waiver that raised its maximum leverage ratio ceiling to 4.50x for Q3 2026, stepping back down to 4.00x thereafter -- a clear signal of covenant stress. Ribbon has no shelf registration or ATM in place and has not priced a primary offering since an August 2022 raise, well outside the lookback window.</w:t>
      </w:r>
    </w:p>
    <w:p>
      <w:pPr>
        <w:pStyle w:val="Heading2"/>
      </w:pPr>
      <w:r>
        <w:t>Use of Proceeds</w:t>
      </w:r>
    </w:p>
    <w:p>
      <w:r>
        <w:rPr>
          <w:sz w:val="22"/>
        </w:rPr>
        <w:t>Pay down a portion of the fully-drawn $350M term loan to rebuild covenant headroom and restore a cash buffer against the elevated burn rate.</w:t>
      </w:r>
    </w:p>
    <w:p>
      <w:pPr>
        <w:pStyle w:val="Heading2"/>
      </w:pPr>
      <w:r>
        <w:t>Timing</w:t>
      </w:r>
    </w:p>
    <w:p>
      <w:r>
        <w:rPr>
          <w:sz w:val="22"/>
        </w:rPr>
        <w:t>The covenant waiver's step-down to a 4.00x leverage ceiling takes effect after Q3 2026, giving the company only a few quarters of relief before the more restrictive covenant test returns.</w:t>
      </w:r>
    </w:p>
    <w:p>
      <w:pPr>
        <w:pStyle w:val="Heading2"/>
      </w:pPr>
      <w:r>
        <w:t>Why Raise Now</w:t>
      </w:r>
    </w:p>
    <w:p>
      <w:r>
        <w:rPr>
          <w:sz w:val="22"/>
        </w:rPr>
        <w:t>With the credit facility fully drawn and a covenant waiver already needed once this year, another quarter of cash burn at the H1 2026 rate risks a renewed covenant breach; raising equity now is cheaper than negotiating a second waiver or a forced restructuring of the credit facility.</w:t>
      </w:r>
    </w:p>
    <w:p>
      <w:pPr>
        <w:pStyle w:val="Heading2"/>
      </w:pPr>
      <w:r>
        <w:t>Risks to the Pitch</w:t>
      </w:r>
    </w:p>
    <w:p>
      <w:r>
        <w:rPr>
          <w:sz w:val="22"/>
        </w:rPr>
        <w:t>Cash burn improved sequentially from Q1 to Q2 2026, and management has framed the covenant waiver as a proactive, negotiated adjustment rather than a default -- both cut against the urgency case. A $75M raise would also be a large step up from Ribbon's historical financing size (its last primary offering raised $52.1M, in 2022).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Ticker</w:t>
            </w:r>
          </w:p>
        </w:tc>
        <w:tc>
          <w:tcPr>
            <w:tcW w:type="dxa" w:w="1728"/>
          </w:tcPr>
          <w:p>
            <w:r>
              <w:t>Market Cap</w:t>
            </w:r>
          </w:p>
        </w:tc>
        <w:tc>
          <w:tcPr>
            <w:tcW w:type="dxa" w:w="1728"/>
          </w:tcPr>
          <w:p>
            <w:r>
              <w:t>Raise Size</w:t>
            </w:r>
          </w:p>
        </w:tc>
        <w:tc>
          <w:tcPr>
            <w:tcW w:type="dxa" w:w="1728"/>
          </w:tcPr>
          <w:p>
            <w:r>
              <w:t>% of Market Cap</w:t>
            </w:r>
          </w:p>
        </w:tc>
        <w:tc>
          <w:tcPr>
            <w:tcW w:type="dxa" w:w="1728"/>
          </w:tcPr>
          <w:p>
            <w:r>
              <w:t>Urgency</w:t>
            </w:r>
          </w:p>
        </w:tc>
      </w:tr>
      <w:tr>
        <w:tc>
          <w:tcPr>
            <w:tcW w:type="dxa" w:w="1728"/>
          </w:tcPr>
          <w:p>
            <w:r>
              <w:t>RBBN</w:t>
            </w:r>
          </w:p>
        </w:tc>
        <w:tc>
          <w:tcPr>
            <w:tcW w:type="dxa" w:w="1728"/>
          </w:tcPr>
          <w:p>
            <w:r>
              <w:t>$363.0M</w:t>
            </w:r>
          </w:p>
        </w:tc>
        <w:tc>
          <w:tcPr>
            <w:tcW w:type="dxa" w:w="1728"/>
          </w:tcPr>
          <w:p>
            <w:r>
              <w:t>$75.0M</w:t>
            </w:r>
          </w:p>
        </w:tc>
        <w:tc>
          <w:tcPr>
            <w:tcW w:type="dxa" w:w="1728"/>
          </w:tcPr>
          <w:p>
            <w:r>
              <w:t>20.7%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