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Weekly Equity-Raise Candidate Research — Summary</w:t>
      </w:r>
    </w:p>
    <w:p>
      <w:r>
        <w:rPr>
          <w:i w:val="0"/>
          <w:sz w:val="22"/>
        </w:rPr>
        <w:t>Week of 2026-09-20</w:t>
      </w:r>
    </w:p>
    <w:p>
      <w:pPr>
        <w:spacing w:before="280" w:after="120"/>
      </w:pPr>
      <w:r>
        <w:rPr>
          <w:color w:val="2E74B5"/>
          <w:sz w:val="32"/>
        </w:rPr>
        <w:t>Keep Names — One-Pager Summary (Both Screens, Accumulated)</w:t>
      </w:r>
    </w:p>
    <w:p>
      <w:r>
        <w:rPr>
          <w:i w:val="0"/>
          <w:sz w:val="22"/>
        </w:rPr>
        <w:t>Every Keep name with a finished one-pager in this folder, across all batches researched this week.</w:t>
      </w:r>
    </w:p>
    <w:tbl>
      <w:tblPr>
        <w:tblW w:type="auto" w:w="0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Screen</w:t>
            </w:r>
          </w:p>
        </w:tc>
        <w:tc>
          <w:tcPr>
            <w:tcW w:type="dxa" w:w="14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Ticker</w:t>
            </w:r>
          </w:p>
        </w:tc>
        <w:tc>
          <w:tcPr>
            <w:tcW w:type="dxa" w:w="14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Market Cap</w:t>
            </w:r>
          </w:p>
        </w:tc>
        <w:tc>
          <w:tcPr>
            <w:tcW w:type="dxa" w:w="14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Raise Size</w:t>
            </w:r>
          </w:p>
        </w:tc>
        <w:tc>
          <w:tcPr>
            <w:tcW w:type="dxa" w:w="14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% of Mkt Cap</w:t>
            </w:r>
          </w:p>
        </w:tc>
        <w:tc>
          <w:tcPr>
            <w:tcW w:type="dxa" w:w="14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Urgency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Up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NAUT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$115.2M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$23.0M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20.0%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Medium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Distress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IVVD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$243.5M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$70.0M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28.7%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High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Distress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ATLX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$100.2M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$35.0M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34.9%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High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Distress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ARQ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$100.4M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$40.0M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39.8%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High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Distress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YEXT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$644.4M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$120.0M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18.6%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Medium-High</w:t>
            </w:r>
          </w:p>
        </w:tc>
      </w:tr>
    </w:tbl>
    <w:p>
      <w:pPr>
        <w:spacing w:before="280" w:after="120"/>
      </w:pPr>
      <w:r>
        <w:rPr>
          <w:color w:val="2E74B5"/>
          <w:sz w:val="32"/>
        </w:rPr>
        <w:t>Full Disposition — 2026-09-20 weekly run: 8 up-screen + 15 distress-screen researched (score&gt;=25), plus 3 spot-checks (CIX, CTS, ANIP)</w:t>
      </w:r>
    </w:p>
    <w:tbl>
      <w:tblPr>
        <w:tblW w:type="auto" w:w="0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E74B5"/>
          </w:tcPr>
          <w:p>
            <w:r/>
            <w:r>
              <w:rPr>
                <w:b/>
                <w:color w:val="FFFFFF"/>
                <w:sz w:val="18"/>
              </w:rPr>
              <w:t>Screen</w:t>
            </w:r>
          </w:p>
        </w:tc>
        <w:tc>
          <w:tcPr>
            <w:tcW w:type="dxa" w:w="1728"/>
            <w:shd w:val="clear" w:color="auto" w:fill="2E74B5"/>
          </w:tcPr>
          <w:p>
            <w:r/>
            <w:r>
              <w:rPr>
                <w:b/>
                <w:color w:val="FFFFFF"/>
                <w:sz w:val="18"/>
              </w:rPr>
              <w:t>Ticker</w:t>
            </w:r>
          </w:p>
        </w:tc>
        <w:tc>
          <w:tcPr>
            <w:tcW w:type="dxa" w:w="1728"/>
            <w:shd w:val="clear" w:color="auto" w:fill="2E74B5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1728"/>
            <w:shd w:val="clear" w:color="auto" w:fill="2E74B5"/>
          </w:tcPr>
          <w:p>
            <w:r/>
            <w:r>
              <w:rPr>
                <w:b/>
                <w:color w:val="FFFFFF"/>
                <w:sz w:val="18"/>
              </w:rPr>
              <w:t>Disposition</w:t>
            </w:r>
          </w:p>
        </w:tc>
        <w:tc>
          <w:tcPr>
            <w:tcW w:type="dxa" w:w="1728"/>
            <w:shd w:val="clear" w:color="auto" w:fill="2E74B5"/>
          </w:tcPr>
          <w:p>
            <w:r/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TUSK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57.0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Self-funded, debt-free, cash decline reflects normal growth capex (aviation buildout), not distress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TISI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45.2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Already raised via Stellex Capital preferred equity (Sep 2025) plus Aug 2026 follow-on investment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NAUT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41.0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Keep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Biotech runway story with company-flagged 2027 capital need; no disqualifying signal found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LXU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37.0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Genuine catalyst (CCS/45Q credits) but management explicitly prefers M&amp;A/partnerships over equity dilution; positive FCF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IPI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32.0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Profitable, strong balance sheet, self-funded via Intrepid South asset sale, no dividend but no need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ZVRA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27.2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Profitable, debt-free, $260M+ cash after divestiture; no capital need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BBCP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25.0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Profitable and dividend-paying; automatic drop per screening criteria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NGS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25.0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Profitable and dividend-paying (raised dividend); acquisition funded via debt, not equity need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CIX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13.2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Spot-check (active unused shelf): profitable dividend payer funding distributions from cash, no need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CTS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13.2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Spot-check (active unused shelf): profitable dividend payer, strong FCF, signals M&amp;A/buyback appetite not equity need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ATRC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17.2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PDEX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17.2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FIRY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14.3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ACTG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13.2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AOUT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13.2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CRSR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13.2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SENEB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13.2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XPEL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13.2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RARE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53.2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Ambiguous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Heavy burn ($97M/qtr) vs ~4-5qtr runway, but improving trajectory, no going-concern/delisting, and already using non-dilutive royalty-sale financing instead of equity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BDTX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45.5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Long runway (into H2 2028), zero debt = substantial unused debt capacity (explicit disqualifier), no going-concern/delisting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IVVD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43.2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Keep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Explicit going-concern language plus imminent binary catalyst (DECLARATION Phase 3 data, late Q3 2026)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ALTI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39.2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Ambiguous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Real cash constraint (~18mo runway) and 2026 debt maturity, but going-concern signal is management-only (not auditor), no delisting/PIPE flags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BRCC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39.2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FCF positive, operationally de-risking, comfortable leverage; prior delisting risk already resolved (regained NYSE compliance Jun 2026)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BYND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39.2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Ambiguous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Maxed debt (7.25x D/E) and ongoing private debt restructuring, but Nasdaq delisting risk already resolved (regained compliance Aug 28 2026) and no going-concern language; revealed preference for debt-side restructuring over equity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ATLX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34.5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Keep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Explicit going-concern language, near-maxed debt capacity, $10.2M convertible due within 12mo, concrete Neves project catalyst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ADTN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33.2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Positive FCF and ample, recently-expanded unused debt capacity ($350M+$350M facilities); no going-concern/delisting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ENOV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32.0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Profitable, cash-flow positive, ample unused revolving debt capacity, maturities extended to 2030; cyclically down only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ARQ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30.2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Keep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Explicit auditor going-concern language, razor-thin $3.1M unrestricted cash, tightened covenants, concrete unfunded $40-60M project need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COOK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30.2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Ample unused debt capacity, FCF positive, prior Nasdaq delisting risk already resolved via completed reverse split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XLAB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25.5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Hard disqualifier: closed a ~$33M PIPE around Sep 2, 2026, just weeks before this screen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EVCM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25.2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Profitable, FCF positive (TTM +$71.7M), ample unused liquidity, active buyback authorization; not distressed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YEXT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25.2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Keep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$200M convertible due Dec 2026 vs. only $86.8M cash, no refinancing announced; CEO cited financing-access difficulty in a withdrawn 2026 buyout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OLN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25.0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Profitable and dividend-paying despite price decline -- cyclically down, not distressed; no near-term maturity (2029)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ANIP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22.2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Spot-check (elevated sector_component): strong balance sheet ($360M cash, 1.0x leverage), profitable, guidance reaffirmed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ADV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24.2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EYE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24.2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PATK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24.2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WING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24.2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MYGN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20.2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CCAP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18.5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RXST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18.2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NRDY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15.2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MZTI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13.2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SAM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13.2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TPB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13.2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WINA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13.2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