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ARQ — Arq Inc.</w:t>
      </w:r>
    </w:p>
    <w:p>
      <w:r>
        <w:rPr>
          <w:i/>
          <w:color w:val="444444"/>
          <w:sz w:val="22"/>
        </w:rPr>
        <w:t>Industrials / Major Chemicals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$100.4M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$40.0M (39.8%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Arq's most recent 10-Q contains explicit auditor going-concern language. Unrestricted cash was just $3.1M as of July 31, 2026 (total cash $12.1M, but $11.2M of that is restricted), and the company amended its credit facility to lower minimum-liquidity covenant thresholds -- a sign lenders were managing stress, not offering relief. Total debt of $30.7M across a revolver and term loan appears largely drawn, leaving little unused debt capacity to fall back on.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Fund the unfunded $40-60M capital requirement for the GAC bituminous conversion project (currently on hold) and rebuild unrestricted liquidity, which at $3.1M is inadequate for a company with an active, named capital project awaiting funding.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Restarting the GAC project requires roughly a 12-month build timeline plus financing lead time before it can contribute, and the recently tightened, amended liquidity covenants suggest the company cannot wait long before addressing its cash position.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The going-concern disclosure makes the cost of waiting asymmetric -- further deterioration risks a much harder, more dilutive raise later, or an inability to raise at all. Addressing the balance sheet now, while the GAC project remains a credible funded catalyst, preserves optionality that a forced, distressed process would likely eliminate.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The full $40-60M named capital need for the GAC project exceeds our 40%-of-market-cap sizing cap, so the proposed $40.0M raise would only partially fund the project and may require a follow-on. Investor appetite for a going-concern name funding a currently-paused project is likely thin and may demand expensive structure/covenants for existing holders. Lenders who just tightened covenants may also hold consent rights that complicate layering in new capital.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ARQ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$100.4M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$40.0M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39.8%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High</w:t>
            </w:r>
          </w:p>
        </w:tc>
      </w:tr>
    </w:tbl>
    <w:p>
      <w:r>
        <w:rPr>
          <w:i/>
          <w:color w:val="444444"/>
          <w:sz w:val="18"/>
        </w:rPr>
        <w:t>Note: Researched need ($40-60M) exceeds the 40% sizing cap; sized at the cap ($40.0M) per the routine's guidance rather than proposing the full amount.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