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2"/>
        </w:rPr>
        <w:t>ATLX — Atlas Lithium Corporation</w:t>
      </w:r>
    </w:p>
    <w:p>
      <w:r>
        <w:rPr>
          <w:i/>
          <w:color w:val="444444"/>
          <w:sz w:val="22"/>
        </w:rPr>
        <w:t>Industrials / Mining &amp; Quarrying of Nonmetallic Minerals</w:t>
      </w:r>
    </w:p>
    <w:p>
      <w:r>
        <w:rPr>
          <w:b/>
          <w:sz w:val="22"/>
        </w:rPr>
        <w:t xml:space="preserve">Current Market Cap:  </w:t>
      </w:r>
      <w:r>
        <w:rPr>
          <w:sz w:val="22"/>
        </w:rPr>
        <w:t>$100.2M</w:t>
      </w:r>
    </w:p>
    <w:p>
      <w:r>
        <w:rPr>
          <w:b/>
          <w:sz w:val="22"/>
        </w:rPr>
        <w:t xml:space="preserve">Proposed Raise Size:  </w:t>
      </w:r>
      <w:r>
        <w:rPr>
          <w:sz w:val="22"/>
        </w:rPr>
        <w:t>$35.0M (34.9% of market cap)</w:t>
      </w:r>
    </w:p>
    <w:p>
      <w:pPr>
        <w:spacing w:before="200" w:after="80"/>
      </w:pPr>
      <w:r>
        <w:rPr>
          <w:color w:val="2E74B5"/>
          <w:sz w:val="26"/>
        </w:rPr>
        <w:t>Thesis</w:t>
      </w:r>
    </w:p>
    <w:p>
      <w:r>
        <w:rPr>
          <w:i w:val="0"/>
          <w:sz w:val="22"/>
        </w:rPr>
        <w:t>Atlas Lithium is pre-revenue with explicit going-concern doubt disclosed in its 10-Q, conditioned on financing availability. Cash was $36.1M as of Q2 2026 against an H1 2026 operating cash outflow of $18.2M (roughly double the prior year), and management states only a 12-month runway. The company already carries $10.2M of convertible notes due within the next 12 months against total debt of ~$34.7M, leaving minimal unused debt capacity -- it has instead been funding itself via a public at-the-market equity program ($11.3M H1 2026) and a subsidiary offering ($9.6M), showing it is already leaning on public equity markets rather than untapped debt.</w:t>
      </w:r>
    </w:p>
    <w:p>
      <w:pPr>
        <w:spacing w:before="200" w:after="80"/>
      </w:pPr>
      <w:r>
        <w:rPr>
          <w:color w:val="2E74B5"/>
          <w:sz w:val="26"/>
        </w:rPr>
        <w:t>Use of Proceeds</w:t>
      </w:r>
    </w:p>
    <w:p>
      <w:r>
        <w:rPr>
          <w:i w:val="0"/>
          <w:sz w:val="22"/>
        </w:rPr>
        <w:t>Refinance the $10.2M of near-term convertible maturities and fund continued development of the Neves lithium project toward Final Investment Decision, plant commissioning, and first concentrate production targeted for the 2026-2027 window.</w:t>
      </w:r>
    </w:p>
    <w:p>
      <w:pPr>
        <w:spacing w:before="200" w:after="80"/>
      </w:pPr>
      <w:r>
        <w:rPr>
          <w:color w:val="2E74B5"/>
          <w:sz w:val="26"/>
        </w:rPr>
        <w:t>Timing</w:t>
      </w:r>
    </w:p>
    <w:p>
      <w:r>
        <w:rPr>
          <w:i w:val="0"/>
          <w:sz w:val="22"/>
        </w:rPr>
        <w:t>The $10.2M convertible maturity within 12 months and management's own 12-month runway statement create a hard near-term deadline; the going-concern doubt is explicitly conditioned on financing being available.</w:t>
      </w:r>
    </w:p>
    <w:p>
      <w:pPr>
        <w:spacing w:before="200" w:after="80"/>
      </w:pPr>
      <w:r>
        <w:rPr>
          <w:color w:val="2E74B5"/>
          <w:sz w:val="26"/>
        </w:rPr>
        <w:t>Why Raise Now</w:t>
      </w:r>
    </w:p>
    <w:p>
      <w:r>
        <w:rPr>
          <w:i w:val="0"/>
          <w:sz w:val="22"/>
        </w:rPr>
        <w:t>With minimal unused debt capacity and no evident cheaper financing avenue, an equity raise ahead of the runway/maturity wall gives the company control over dilution and structure rather than being forced into an emergency raise on worse terms closer to (or after) the going-concern deadline. The Neves project's FID milestone offers a credible catalyst that could reprice the stock if achieved.</w:t>
      </w:r>
    </w:p>
    <w:p>
      <w:pPr>
        <w:spacing w:before="200" w:after="80"/>
      </w:pPr>
      <w:r>
        <w:rPr>
          <w:color w:val="2E74B5"/>
          <w:sz w:val="26"/>
        </w:rPr>
        <w:t>Risks to the Pitch</w:t>
      </w:r>
    </w:p>
    <w:p>
      <w:r>
        <w:rPr>
          <w:i w:val="0"/>
          <w:sz w:val="22"/>
        </w:rPr>
        <w:t>The Neves project has a documented history of schedule delays, so the funded catalyst may slip, extending the burn period without the offsetting stock reaction. The company's reliance on ATM issuance to date suggests demand for a larger, single block raise of this size may be harder to source than the smaller ATM prints achieved so far. Pre-revenue, going-concern-flagged small caps generally face a thin institutional investor base for a raise of this size.</w:t>
      </w:r>
    </w:p>
    <w:p>
      <w:pPr>
        <w:spacing w:before="200" w:after="80"/>
      </w:pPr>
      <w:r>
        <w:rPr>
          <w:color w:val="2E74B5"/>
          <w:sz w:val="26"/>
        </w:rPr>
        <w:t>Summary</w:t>
      </w:r>
    </w:p>
    <w:tbl>
      <w:tblPr>
        <w:tblW w:type="auto" w:w="0"/>
        <w:tblBorders>
          <w:top w:val="single" w:sz="4" w:color="auto"/>
          <w:left w:val="single" w:sz="4" w:color="auto"/>
          <w:bottom w:val="single" w:sz="4" w:color="auto"/>
          <w:right w:val="single" w:sz="4" w:color="auto"/>
          <w:insideH w:val="single" w:sz="4" w:color="auto"/>
          <w:insideV w:val="single" w:sz="4" w:color="auto"/>
        </w:tblBorders>
        <w:tblLook w:firstColumn="1" w:firstRow="1" w:lastColumn="0" w:lastRow="0" w:noHBand="0" w:noVBand="1" w:val="04A0"/>
      </w:tblPr>
      <w:tblGrid>
        <w:gridCol w:w="1728"/>
        <w:gridCol w:w="1728"/>
        <w:gridCol w:w="1728"/>
        <w:gridCol w:w="1728"/>
        <w:gridCol w:w="1728"/>
      </w:tblGrid>
      <w:tr>
        <w:tc>
          <w:tcPr>
            <w:tcW w:type="dxa" w:w="1728"/>
            <w:shd w:val="clear" w:color="auto" w:fill="1F3864"/>
          </w:tcPr>
          <w:p>
            <w:r/>
            <w:r>
              <w:rPr>
                <w:b/>
                <w:color w:val="FFFFFF"/>
                <w:sz w:val="18"/>
              </w:rPr>
              <w:t>Ticker</w:t>
            </w:r>
          </w:p>
        </w:tc>
        <w:tc>
          <w:tcPr>
            <w:tcW w:type="dxa" w:w="1728"/>
            <w:shd w:val="clear" w:color="auto" w:fill="1F3864"/>
          </w:tcPr>
          <w:p>
            <w:r/>
            <w:r>
              <w:rPr>
                <w:b/>
                <w:color w:val="FFFFFF"/>
                <w:sz w:val="18"/>
              </w:rPr>
              <w:t>Market Cap</w:t>
            </w:r>
          </w:p>
        </w:tc>
        <w:tc>
          <w:tcPr>
            <w:tcW w:type="dxa" w:w="1728"/>
            <w:shd w:val="clear" w:color="auto" w:fill="1F3864"/>
          </w:tcPr>
          <w:p>
            <w:r/>
            <w:r>
              <w:rPr>
                <w:b/>
                <w:color w:val="FFFFFF"/>
                <w:sz w:val="18"/>
              </w:rPr>
              <w:t>Raise Size</w:t>
            </w:r>
          </w:p>
        </w:tc>
        <w:tc>
          <w:tcPr>
            <w:tcW w:type="dxa" w:w="1728"/>
            <w:shd w:val="clear" w:color="auto" w:fill="1F3864"/>
          </w:tcPr>
          <w:p>
            <w:r/>
            <w:r>
              <w:rPr>
                <w:b/>
                <w:color w:val="FFFFFF"/>
                <w:sz w:val="18"/>
              </w:rPr>
              <w:t>% of Market Cap</w:t>
            </w:r>
          </w:p>
        </w:tc>
        <w:tc>
          <w:tcPr>
            <w:tcW w:type="dxa" w:w="1728"/>
            <w:shd w:val="clear" w:color="auto" w:fill="1F3864"/>
          </w:tcPr>
          <w:p>
            <w:r/>
            <w:r>
              <w:rPr>
                <w:b/>
                <w:color w:val="FFFFFF"/>
                <w:sz w:val="18"/>
              </w:rPr>
              <w:t>Urgency</w:t>
            </w:r>
          </w:p>
        </w:tc>
      </w:tr>
      <w:tr>
        <w:tc>
          <w:tcPr>
            <w:tcW w:type="dxa" w:w="1728"/>
          </w:tcPr>
          <w:p>
            <w:r/>
            <w:r>
              <w:rPr>
                <w:sz w:val="17"/>
              </w:rPr>
              <w:t>ATLX</w:t>
            </w:r>
          </w:p>
        </w:tc>
        <w:tc>
          <w:tcPr>
            <w:tcW w:type="dxa" w:w="1728"/>
          </w:tcPr>
          <w:p>
            <w:r/>
            <w:r>
              <w:rPr>
                <w:sz w:val="17"/>
              </w:rPr>
              <w:t>$100.2M</w:t>
            </w:r>
          </w:p>
        </w:tc>
        <w:tc>
          <w:tcPr>
            <w:tcW w:type="dxa" w:w="1728"/>
          </w:tcPr>
          <w:p>
            <w:r/>
            <w:r>
              <w:rPr>
                <w:sz w:val="17"/>
              </w:rPr>
              <w:t>$35.0M</w:t>
            </w:r>
          </w:p>
        </w:tc>
        <w:tc>
          <w:tcPr>
            <w:tcW w:type="dxa" w:w="1728"/>
          </w:tcPr>
          <w:p>
            <w:r/>
            <w:r>
              <w:rPr>
                <w:sz w:val="17"/>
              </w:rPr>
              <w:t>34.9%</w:t>
            </w:r>
          </w:p>
        </w:tc>
        <w:tc>
          <w:tcPr>
            <w:tcW w:type="dxa" w:w="1728"/>
          </w:tcPr>
          <w:p>
            <w:r/>
            <w:r>
              <w:rPr>
                <w:sz w:val="17"/>
              </w:rPr>
              <w:t>High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