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IVVD — Invivyd Inc.</w:t>
      </w:r>
    </w:p>
    <w:p>
      <w:r>
        <w:rPr>
          <w:i/>
          <w:color w:val="444444"/>
          <w:sz w:val="22"/>
        </w:rPr>
        <w:t>Health Care / Biotechnology: Biological Products</w:t>
      </w:r>
    </w:p>
    <w:p>
      <w:r>
        <w:rPr>
          <w:b/>
          <w:sz w:val="22"/>
        </w:rPr>
        <w:t xml:space="preserve">Current Market Cap:  </w:t>
      </w:r>
      <w:r>
        <w:rPr>
          <w:sz w:val="22"/>
        </w:rPr>
        <w:t>$243.5M</w:t>
      </w:r>
    </w:p>
    <w:p>
      <w:r>
        <w:rPr>
          <w:b/>
          <w:sz w:val="22"/>
        </w:rPr>
        <w:t xml:space="preserve">Proposed Raise Size:  </w:t>
      </w:r>
      <w:r>
        <w:rPr>
          <w:sz w:val="22"/>
        </w:rPr>
        <w:t>$70.0M (28.7% of market cap)</w:t>
      </w:r>
    </w:p>
    <w:p>
      <w:pPr>
        <w:spacing w:before="200" w:after="80"/>
      </w:pPr>
      <w:r>
        <w:rPr>
          <w:color w:val="2E74B5"/>
          <w:sz w:val="26"/>
        </w:rPr>
        <w:t>Thesis</w:t>
      </w:r>
    </w:p>
    <w:p>
      <w:r>
        <w:rPr>
          <w:i w:val="0"/>
          <w:sz w:val="22"/>
        </w:rPr>
        <w:t>Invivyd's June 2026 10-Q carries explicit "substantial doubt about its ability to continue as a going concern" language. Cash of $160.1M is being consumed quickly -- R&amp;D alone ran $29.4M in Q2 2026 and net loss was $85.8M for H1 2026 -- while PEMGARDA product revenue ($28M H1 2026) is not yet covering the burn. The company's only committed debt is a modest $30M non-dilutive, milestone-conditional SVB facility, leaving little debt capacity to lean on instead.</w:t>
      </w:r>
    </w:p>
    <w:p>
      <w:pPr>
        <w:spacing w:before="200" w:after="80"/>
      </w:pPr>
      <w:r>
        <w:rPr>
          <w:color w:val="2E74B5"/>
          <w:sz w:val="26"/>
        </w:rPr>
        <w:t>Use of Proceeds</w:t>
      </w:r>
    </w:p>
    <w:p>
      <w:r>
        <w:rPr>
          <w:i w:val="0"/>
          <w:sz w:val="22"/>
        </w:rPr>
        <w:t>Fund operations and PEMGARDA commercial scale-up through and beyond the DECLARATION Phase 3 topline data readout (expected late Q3 2026), directly addressing the going-concern doubt with a credible capital cushion regardless of trial outcome.</w:t>
      </w:r>
    </w:p>
    <w:p>
      <w:pPr>
        <w:spacing w:before="200" w:after="80"/>
      </w:pPr>
      <w:r>
        <w:rPr>
          <w:color w:val="2E74B5"/>
          <w:sz w:val="26"/>
        </w:rPr>
        <w:t>Timing</w:t>
      </w:r>
    </w:p>
    <w:p>
      <w:r>
        <w:rPr>
          <w:i w:val="0"/>
          <w:sz w:val="22"/>
        </w:rPr>
        <w:t>DECLARATION topline data is expected late Q3 2026 -- essentially imminent from today's date -- making this a binary near-term event. The going-concern disclosure itself creates urgency independent of what the trial shows.</w:t>
      </w:r>
    </w:p>
    <w:p>
      <w:pPr>
        <w:spacing w:before="200" w:after="80"/>
      </w:pPr>
      <w:r>
        <w:rPr>
          <w:color w:val="2E74B5"/>
          <w:sz w:val="26"/>
        </w:rPr>
        <w:t>Why Raise Now</w:t>
      </w:r>
    </w:p>
    <w:p>
      <w:r>
        <w:rPr>
          <w:i w:val="0"/>
          <w:sz w:val="22"/>
        </w:rPr>
        <w:t>A positive DECLARATION readout would likely reprice the stock upward, making a raise ahead of the data cheaper in expected-value terms than waiting; if the data disappoint, waiting only makes financing harder. The going-concern language means the cost of delay is asymmetric -- addressing the balance sheet now removes the overhang regardless of the trial's outcome.</w:t>
      </w:r>
    </w:p>
    <w:p>
      <w:pPr>
        <w:spacing w:before="200" w:after="80"/>
      </w:pPr>
      <w:r>
        <w:rPr>
          <w:color w:val="2E74B5"/>
          <w:sz w:val="26"/>
        </w:rPr>
        <w:t>Risks to the Pitch</w:t>
      </w:r>
    </w:p>
    <w:p>
      <w:r>
        <w:rPr>
          <w:i w:val="0"/>
          <w:sz w:val="22"/>
        </w:rPr>
        <w:t>Investor appetite for going-concern-flagged biotechs is generally thin outside specialist rescue/crossover funds, especially ahead of a binary readout. If DECLARATION data disappoint, a raise could become materially more dilutive or difficult to complete at all. The modest existing SVB facility suggests debt markets have already been tapped for what is available to this credit, leaving equity as close to the only lever.</w:t>
      </w:r>
    </w:p>
    <w:p>
      <w:pPr>
        <w:spacing w:before="200" w:after="80"/>
      </w:pPr>
      <w:r>
        <w:rPr>
          <w:color w:val="2E74B5"/>
          <w:sz w:val="26"/>
        </w:rPr>
        <w:t>Summary</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728"/>
        <w:gridCol w:w="1728"/>
        <w:gridCol w:w="1728"/>
        <w:gridCol w:w="1728"/>
        <w:gridCol w:w="1728"/>
      </w:tblGrid>
      <w:tr>
        <w:tc>
          <w:tcPr>
            <w:tcW w:type="dxa" w:w="1728"/>
            <w:shd w:val="clear" w:color="auto" w:fill="1F3864"/>
          </w:tcPr>
          <w:p>
            <w:r/>
            <w:r>
              <w:rPr>
                <w:b/>
                <w:color w:val="FFFFFF"/>
                <w:sz w:val="18"/>
              </w:rPr>
              <w:t>Ticker</w:t>
            </w:r>
          </w:p>
        </w:tc>
        <w:tc>
          <w:tcPr>
            <w:tcW w:type="dxa" w:w="1728"/>
            <w:shd w:val="clear" w:color="auto" w:fill="1F3864"/>
          </w:tcPr>
          <w:p>
            <w:r/>
            <w:r>
              <w:rPr>
                <w:b/>
                <w:color w:val="FFFFFF"/>
                <w:sz w:val="18"/>
              </w:rPr>
              <w:t>Market Cap</w:t>
            </w:r>
          </w:p>
        </w:tc>
        <w:tc>
          <w:tcPr>
            <w:tcW w:type="dxa" w:w="1728"/>
            <w:shd w:val="clear" w:color="auto" w:fill="1F3864"/>
          </w:tcPr>
          <w:p>
            <w:r/>
            <w:r>
              <w:rPr>
                <w:b/>
                <w:color w:val="FFFFFF"/>
                <w:sz w:val="18"/>
              </w:rPr>
              <w:t>Raise Size</w:t>
            </w:r>
          </w:p>
        </w:tc>
        <w:tc>
          <w:tcPr>
            <w:tcW w:type="dxa" w:w="1728"/>
            <w:shd w:val="clear" w:color="auto" w:fill="1F3864"/>
          </w:tcPr>
          <w:p>
            <w:r/>
            <w:r>
              <w:rPr>
                <w:b/>
                <w:color w:val="FFFFFF"/>
                <w:sz w:val="18"/>
              </w:rPr>
              <w:t>% of Market Cap</w:t>
            </w:r>
          </w:p>
        </w:tc>
        <w:tc>
          <w:tcPr>
            <w:tcW w:type="dxa" w:w="1728"/>
            <w:shd w:val="clear" w:color="auto" w:fill="1F3864"/>
          </w:tcPr>
          <w:p>
            <w:r/>
            <w:r>
              <w:rPr>
                <w:b/>
                <w:color w:val="FFFFFF"/>
                <w:sz w:val="18"/>
              </w:rPr>
              <w:t>Urgency</w:t>
            </w:r>
          </w:p>
        </w:tc>
      </w:tr>
      <w:tr>
        <w:tc>
          <w:tcPr>
            <w:tcW w:type="dxa" w:w="1728"/>
          </w:tcPr>
          <w:p>
            <w:r/>
            <w:r>
              <w:rPr>
                <w:sz w:val="17"/>
              </w:rPr>
              <w:t>IVVD</w:t>
            </w:r>
          </w:p>
        </w:tc>
        <w:tc>
          <w:tcPr>
            <w:tcW w:type="dxa" w:w="1728"/>
          </w:tcPr>
          <w:p>
            <w:r/>
            <w:r>
              <w:rPr>
                <w:sz w:val="17"/>
              </w:rPr>
              <w:t>$243.5M</w:t>
            </w:r>
          </w:p>
        </w:tc>
        <w:tc>
          <w:tcPr>
            <w:tcW w:type="dxa" w:w="1728"/>
          </w:tcPr>
          <w:p>
            <w:r/>
            <w:r>
              <w:rPr>
                <w:sz w:val="17"/>
              </w:rPr>
              <w:t>$70.0M</w:t>
            </w:r>
          </w:p>
        </w:tc>
        <w:tc>
          <w:tcPr>
            <w:tcW w:type="dxa" w:w="1728"/>
          </w:tcPr>
          <w:p>
            <w:r/>
            <w:r>
              <w:rPr>
                <w:sz w:val="17"/>
              </w:rPr>
              <w:t>28.7%</w:t>
            </w:r>
          </w:p>
        </w:tc>
        <w:tc>
          <w:tcPr>
            <w:tcW w:type="dxa" w:w="1728"/>
          </w:tcPr>
          <w:p>
            <w:r/>
            <w:r>
              <w:rPr>
                <w:sz w:val="17"/>
              </w:rPr>
              <w:t>High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