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NAUT — Nautilus Biotechnology Inc.</w:t>
      </w:r>
    </w:p>
    <w:p>
      <w:r>
        <w:rPr>
          <w:i/>
          <w:color w:val="444444"/>
          <w:sz w:val="22"/>
        </w:rPr>
        <w:t>Industrials / Biotechnology: Laboratory Analytical Instruments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$115.2M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$23.0M (20.0%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Nautilus is a pre-commercial proteomics platform company with $84.0M cash/ST investments plus $129.2M total investments as of June 30, 2026, and a Q2 2026 burn of roughly $14.2M/quarter -- a runway into Q1 2028 (~7 quarters) at the current rate. The company generated its first revenue ($0.2M) in Q2 2026, but also disclosed a setback in its broadscale assay development program, refocusing toward targeted proteoforms. Management has itself flagged a high probability of needing additional capital in 2027 to bridge to commercial self-sufficiency.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continued development of the refocused targeted-proteoform assay program through the targeted late-2026 commercialization launch, and extend cash runway past the 2027 financing need management has already signaled -- avoiding a forced, last-minute raise.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company's own model shows runway into Q1 2028, but management has explicitly flagged a 2027 capital need following the Q2 2026 program setback -- the internal clock points to new capital being required sometime in 2027.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NAUT's share price has run up more than 35% over the trailing year even after the assay setback, giving management a better issuance price today than it would likely get closer to the 2027 cash-need window, when negotiating leverage would be weaker. Raising opportunistically into current strength, ahead of the self-flagged need, avoids a worse-priced, forced raise later.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No specific raise has been announced, so timing could slip past this window. The assay-development setback could also delay or dampen the commercialization catalyst underpinning investor appetite, and a further disappointment could make equity markets less receptive than they are today. At only $115M market cap, a raise of any size will be meaningfully dilutive.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NAUT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$115.2M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$23.0M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Medium</w:t>
            </w:r>
          </w:p>
        </w:tc>
      </w:tr>
    </w:tbl>
    <w:p>
      <w:r>
        <w:rPr>
          <w:i/>
          <w:color w:val="444444"/>
          <w:sz w:val="18"/>
        </w:rPr>
        <w:t>Note: Sizing kept at the up-screen's 20% ceiling (~$23.0M) despite falling below the informal $50M floor, per the routine's guidance not to exclude an otherwise-qualified small-cap name on floor grounds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