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YEXT — Yext Inc.</w:t>
      </w:r>
    </w:p>
    <w:p>
      <w:r>
        <w:rPr>
          <w:i/>
          <w:color w:val="444444"/>
          <w:sz w:val="22"/>
        </w:rPr>
        <w:t>Technology / EDP Services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$644.4M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$120.0M (18.6%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Yext faces a $200M convertible note maturity in December 2026 -- roughly three months away -- against only $86.8M of cash (down sharply from $209.5M a year earlier). The company is FCF-positive ($44.7M over six months) and returned to GAAP profitability in FY2026, so this is not a going-concern situation, but the maturity gap ($200M vs. $86.8M cash) is real and unaddressed: no refinancing has been announced. A notable soft signal on financing access: the CEO withdrew a take-private buyout proposal in February 2026, citing an inability to secure financing for the deal.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Retire or partially refinance the $200M convertible notes due December 2026, combined with the company's own cash and operating cash flow, so the maturity is covered without a distressed, last-minute scramble.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December 2026 maturity is a hard, dated deadline -- about three months from today -- making this the most time-critical name in this week's distress batch by calendar proximity, even though the company's underlying financial condition is healthier than the other distress Keeps.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to addressing the gap is a forced refinancing, likely on worse terms given the CEO's own stated difficulty securing deal financing earlier this year, or a scramble close to maturity. Because Yext is profitable and FCF-positive, a rescue/special-situations investor is not required here -- this reads more as a conventional, if urgent, capital-structure fix, which should make it easier to place than the other, more distressed names in this batch.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Because Yext is profitable and FCF-generating, management may well prefer a debt-for-debt refinancing or a paydown from cash flow over issuing new equity, which would undercut the equity pitch entirely -- there is no clear precedent here of a stated equity preference. Existing convertible holders may also simply convert or agree to extend rather than require a new capital raise at all, especially if the stock price supports conversion.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$644.4M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$120.0M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18.6%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