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AREC — American Resources Corporation</w:t>
      </w:r>
    </w:p>
    <w:p>
      <w:r>
        <w:rPr>
          <w:i/>
          <w:color w:val="444444"/>
          <w:sz w:val="22"/>
        </w:rPr>
        <w:t>Industrials / Critical minerals (rare earth and germanium)</w:t>
      </w:r>
    </w:p>
    <w:p>
      <w:r>
        <w:rPr>
          <w:b/>
          <w:sz w:val="22"/>
        </w:rPr>
        <w:t xml:space="preserve">Current Market Cap:  </w:t>
      </w:r>
      <w:r>
        <w:rPr>
          <w:sz w:val="22"/>
        </w:rPr>
        <w:t>$177.0M</w:t>
      </w:r>
    </w:p>
    <w:p>
      <w:r>
        <w:rPr>
          <w:b/>
          <w:sz w:val="22"/>
        </w:rPr>
        <w:t xml:space="preserve">Proposed Raise Size:  </w:t>
      </w:r>
      <w:r>
        <w:rPr>
          <w:sz w:val="22"/>
        </w:rPr>
        <w:t>$35.0M (19.8% of market cap)</w:t>
      </w:r>
    </w:p>
    <w:p>
      <w:pPr>
        <w:spacing w:before="200" w:after="80"/>
      </w:pPr>
      <w:r>
        <w:rPr>
          <w:color w:val="2E74B5"/>
          <w:sz w:val="26"/>
        </w:rPr>
        <w:t>Thesis</w:t>
      </w:r>
    </w:p>
    <w:p>
      <w:r>
        <w:rPr>
          <w:i w:val="0"/>
          <w:sz w:val="22"/>
        </w:rPr>
        <w:t>This is the thinnest case of the group. American Resources deconsolidated its legacy coal operations and refining affiliate ReElement, and reported FY2025 net income of $44.4M driven by the deconsolidation gain, with negative operating income. Going-concern doubt was reportedly removed in the 10-K filed May 20, 2026 (unverified). It received a Nasdaq notice for a delayed Q1 10-Q, and changed auditors in July 2026. Cash, debt and burn could not be found.</w:t>
      </w:r>
    </w:p>
    <w:p>
      <w:pPr>
        <w:spacing w:before="200" w:after="80"/>
      </w:pPr>
      <w:r>
        <w:rPr>
          <w:color w:val="2E74B5"/>
          <w:sz w:val="26"/>
        </w:rPr>
        <w:t>Use of Proceeds</w:t>
      </w:r>
    </w:p>
    <w:p>
      <w:r>
        <w:rPr>
          <w:i w:val="0"/>
          <w:sz w:val="22"/>
        </w:rPr>
        <w:t>Support ReElement's first germanium line, targeted for commercial operation in Q3 2026, and working capital. The $35M size is a placeholder at roughly the 20% level; no researched need exists.</w:t>
      </w:r>
    </w:p>
    <w:p>
      <w:pPr>
        <w:spacing w:before="200" w:after="80"/>
      </w:pPr>
      <w:r>
        <w:rPr>
          <w:color w:val="2E74B5"/>
          <w:sz w:val="26"/>
        </w:rPr>
        <w:t>Timing</w:t>
      </w:r>
    </w:p>
    <w:p>
      <w:r>
        <w:rPr>
          <w:i w:val="0"/>
          <w:sz w:val="22"/>
        </w:rPr>
        <w:t>The germanium line's commissioning in Q3 2026 is the only dated event. The delayed 10-Q and auditor change add near-term disclosure risk.</w:t>
      </w:r>
    </w:p>
    <w:p>
      <w:pPr>
        <w:spacing w:before="200" w:after="80"/>
      </w:pPr>
      <w:r>
        <w:rPr>
          <w:color w:val="2E74B5"/>
          <w:sz w:val="26"/>
        </w:rPr>
        <w:t>Why Raise Now</w:t>
      </w:r>
    </w:p>
    <w:p>
      <w:r>
        <w:rPr>
          <w:i w:val="0"/>
          <w:sz w:val="22"/>
        </w:rPr>
        <w:t>Critical-minerals sentiment and a commissioning milestone could support a raise; the company is trading well below its earlier levels.</w:t>
      </w:r>
    </w:p>
    <w:p>
      <w:pPr>
        <w:spacing w:before="200" w:after="80"/>
      </w:pPr>
      <w:r>
        <w:rPr>
          <w:color w:val="2E74B5"/>
          <w:sz w:val="26"/>
        </w:rPr>
        <w:t>Risks to the Pitch</w:t>
      </w:r>
    </w:p>
    <w:p>
      <w:r>
        <w:rPr>
          <w:i w:val="0"/>
          <w:sz w:val="22"/>
        </w:rPr>
        <w:t>No verified evidence of capital need: cash, debt and burn are unknown, going-concern doubt reportedly cleared, and the filing delays and auditor change are red flags for investors. Treat this one-pager as a placeholder, not a pitch.</w:t>
      </w:r>
    </w:p>
    <w:p>
      <w:pPr>
        <w:spacing w:before="200" w:after="80"/>
      </w:pPr>
      <w:r>
        <w:rPr>
          <w:color w:val="2E74B5"/>
          <w:sz w:val="26"/>
        </w:rPr>
        <w:t>Summary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Raise Size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% of 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Urgency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AREC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$177.0M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$35.0M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19.8%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Low</w:t>
            </w:r>
          </w:p>
        </w:tc>
      </w:tr>
    </w:tbl>
    <w:p>
      <w:r>
        <w:rPr>
          <w:i/>
          <w:color w:val="444444"/>
          <w:sz w:val="18"/>
        </w:rPr>
        <w:t>Note: Written at user request for a name rated Ambiguous, not Keep. Figures are from search summaries and were not checked against filings.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