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ATER — Aterian, Inc.</w:t>
      </w:r>
    </w:p>
    <w:p>
      <w:r>
        <w:rPr>
          <w:i/>
          <w:color w:val="444444"/>
          <w:sz w:val="22"/>
        </w:rPr>
        <w:t>Consumer Discretionary / E-commerce consumer brands (wind-down)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$158.0M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$10.0M (6.3%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The Q2 2026 10-Q states substantial doubt about going concern. Cash and restricted cash were $3.68M at June 30, 2026. The company sold its marquee brands on July 17, 2026 for $18.0M plus $7.0M of preferred stock, leaving Vremi and Xtava, and continuing revenue was only $7K in Q2. A strategic review opened in December 2025. A bid-price deficiency letter was received in December 2025 and compliance was reportedly regained in May 2026.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Bridge liquidity while the strategic review concludes, and fund a merger, acquisition or wind-down path. $10M is our estimate; the true need depends on the remaining liabilities and the sale proceeds, which were not verified.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Liquidity is thin, and the minimum-liquidity covenant on the MidCap facility had been reduced to $6.8M before the sale; the facility's current status is unclear.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is liquidation or a reverse merger on poor terms. A modest financing could fund a transformative transaction while the shell still has a Nasdaq listing and net operating losses.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This is a weak equity pitch: the business has largely been sold, the market cap seems high relative to remaining operations, and the likely outcome is a strategic transaction, not a raise. Debt repayment status is conflicting across sources. Proceeds from the July sale may already cover the need.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ATER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$158.0M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6.3%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