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BGS — B&amp;G Foods, Inc.</w:t>
      </w:r>
    </w:p>
    <w:p>
      <w:r>
        <w:rPr>
          <w:i/>
          <w:color w:val="444444"/>
          <w:sz w:val="22"/>
        </w:rPr>
        <w:t>Consumer Staples / Packaged foods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$213.0M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$60.0M (28.2%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Net sales fell 9.7% to $383.3M in Q2 2026 with a GAAP net loss of $4.0M, though adjusted EBITDA was $60.4M and full-year guidance of $275-290M was reaffirmed. Current debt jumped to $513.8M, and risk factors flag the risk of failing the maximum-leverage and minimum-interest-coverage tests. In June 2026 it refinanced its 2027 notes with $475M of 11% notes due 2031. The $330M revolver and $799M of 8% secured notes mature in 2028, and market capitalization fell below book equity. No going-concern language was found.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Reduce the 2028 secured notes and revolver ahead of their maturities and rebuild covenant headroom. $60M is our estimate, about 28% of the market cap.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2028 maturities are the hard dates, and the leverage covenant steps down to 7.25x at the quarter ending January 2, 2027. The next earnings are around early November 2026.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refinancing at 11% shows how expensive debt has become; equity used to pay down debt would cut interest cost and protect covenants before the step-down.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The market cap input conflicts with price data and should be re-checked. Management has consistently chosen debt refinancing over equity. At a depressed valuation, a 28% raise is highly dilutive. Cash, revolver availability and current leverage were not found.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BGS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$213.0M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28.2%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</w:t>
            </w:r>
          </w:p>
        </w:tc>
      </w:tr>
    </w:tbl>
    <w:p>
      <w:r>
        <w:rPr>
          <w:i/>
          <w:color w:val="444444"/>
          <w:sz w:val="18"/>
        </w:rPr>
        <w:t>Note: Written at user request for a name rated Ambiguous, not Keep. Figures are from search summaries and were not checked against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