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RTB — RTB Digital, Inc. (formerly RYVYL)</w:t>
      </w:r>
    </w:p>
    <w:p>
      <w:r>
        <w:rPr>
          <w:i/>
          <w:color w:val="444444"/>
          <w:sz w:val="22"/>
        </w:rPr>
        <w:t>Technology / Fintech payments</w:t>
      </w:r>
    </w:p>
    <w:p>
      <w:r>
        <w:rPr>
          <w:b/>
          <w:sz w:val="22"/>
        </w:rPr>
        <w:t xml:space="preserve">Current Market Cap:  </w:t>
      </w:r>
      <w:r>
        <w:rPr>
          <w:sz w:val="22"/>
        </w:rPr>
        <w:t>$125.0M</w:t>
      </w:r>
    </w:p>
    <w:p>
      <w:r>
        <w:rPr>
          <w:b/>
          <w:sz w:val="22"/>
        </w:rPr>
        <w:t xml:space="preserve">Proposed Raise Size:  </w:t>
      </w:r>
      <w:r>
        <w:rPr>
          <w:sz w:val="22"/>
        </w:rPr>
        <w:t>$25.0M (20.0% of market cap)</w:t>
      </w:r>
    </w:p>
    <w:p>
      <w:pPr>
        <w:spacing w:before="200" w:after="80"/>
      </w:pPr>
      <w:r>
        <w:rPr>
          <w:color w:val="2E74B5"/>
          <w:sz w:val="26"/>
        </w:rPr>
        <w:t>Thesis</w:t>
      </w:r>
    </w:p>
    <w:p>
      <w:r>
        <w:rPr>
          <w:i w:val="0"/>
          <w:sz w:val="22"/>
        </w:rPr>
        <w:t>Going-concern language appears in the March 31, 2026 10-Q and an 8-K/A exhibit (available cash will not fund operations for 12 months); the June 30 10-Q was not confirmed. Six-month operating cash outflow was about $5.2M against a $14.4M net loss; 2025 net loss was $17.5M and the accumulated deficit about $197M. Nasdaq issued a bid-price delisting determination in December 2025, appealed, and approved the post-merger listing in May 2026 after the merger closed. A PIPE round was recently initiated, with a stated minimum that appears to be a typo.</w:t>
      </w:r>
    </w:p>
    <w:p>
      <w:pPr>
        <w:spacing w:before="200" w:after="80"/>
      </w:pPr>
      <w:r>
        <w:rPr>
          <w:color w:val="2E74B5"/>
          <w:sz w:val="26"/>
        </w:rPr>
        <w:t>Use of Proceeds</w:t>
      </w:r>
    </w:p>
    <w:p>
      <w:r>
        <w:rPr>
          <w:i w:val="0"/>
          <w:sz w:val="22"/>
        </w:rPr>
        <w:t>Working capital and funding the merged business plan for about 12 months; roughly $25M is our estimate given a ~$10M annual operating outflow plus cushion.</w:t>
      </w:r>
    </w:p>
    <w:p>
      <w:pPr>
        <w:spacing w:before="200" w:after="80"/>
      </w:pPr>
      <w:r>
        <w:rPr>
          <w:color w:val="2E74B5"/>
          <w:sz w:val="26"/>
        </w:rPr>
        <w:t>Timing</w:t>
      </w:r>
    </w:p>
    <w:p>
      <w:r>
        <w:rPr>
          <w:i w:val="0"/>
          <w:sz w:val="22"/>
        </w:rPr>
        <w:t>The PIPE round is already under way, and the going-concern doubt is current. Listing compliance after the reverse split and merger remains a live watch item.</w:t>
      </w:r>
    </w:p>
    <w:p>
      <w:pPr>
        <w:spacing w:before="200" w:after="80"/>
      </w:pPr>
      <w:r>
        <w:rPr>
          <w:color w:val="2E74B5"/>
          <w:sz w:val="26"/>
        </w:rPr>
        <w:t>Why Raise Now</w:t>
      </w:r>
    </w:p>
    <w:p>
      <w:r>
        <w:rPr>
          <w:i w:val="0"/>
          <w:sz w:val="22"/>
        </w:rPr>
        <w:t>The company is already raising; the pitch is to lead, upsize or replace the PIPE with a cleaner marketed deal to remove the going-concern flag and stabilise the listing.</w:t>
      </w:r>
    </w:p>
    <w:p>
      <w:pPr>
        <w:spacing w:before="200" w:after="80"/>
      </w:pPr>
      <w:r>
        <w:rPr>
          <w:color w:val="2E74B5"/>
          <w:sz w:val="26"/>
        </w:rPr>
        <w:t>Risks to the Pitch</w:t>
      </w:r>
    </w:p>
    <w:p>
      <w:r>
        <w:rPr>
          <w:i w:val="0"/>
          <w:sz w:val="22"/>
        </w:rPr>
        <w:t>The PIPE is in progress, so the incumbent investors may fill it. Cash, debt and the PIPE size were not verified. The October 2025 preferred PIPE was small but recent history of dilution is heavy. Delisting risk could deter investors.</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RTB</w:t>
            </w:r>
          </w:p>
        </w:tc>
        <w:tc>
          <w:tcPr>
            <w:tcW w:type="dxa" w:w="1728"/>
          </w:tcPr>
          <w:p>
            <w:r/>
            <w:r>
              <w:rPr>
                <w:sz w:val="17"/>
              </w:rPr>
              <w:t>$125.0M</w:t>
            </w:r>
          </w:p>
        </w:tc>
        <w:tc>
          <w:tcPr>
            <w:tcW w:type="dxa" w:w="1728"/>
          </w:tcPr>
          <w:p>
            <w:r/>
            <w:r>
              <w:rPr>
                <w:sz w:val="17"/>
              </w:rPr>
              <w:t>$25.0M</w:t>
            </w:r>
          </w:p>
        </w:tc>
        <w:tc>
          <w:tcPr>
            <w:tcW w:type="dxa" w:w="1728"/>
          </w:tcPr>
          <w:p>
            <w:r/>
            <w:r>
              <w:rPr>
                <w:sz w:val="17"/>
              </w:rPr>
              <w:t>20.0%</w:t>
            </w:r>
          </w:p>
        </w:tc>
        <w:tc>
          <w:tcPr>
            <w:tcW w:type="dxa" w:w="1728"/>
          </w:tcPr>
          <w:p>
            <w:r/>
            <w:r>
              <w:rPr>
                <w:sz w:val="17"/>
              </w:rPr>
              <w:t>Medium-High</w:t>
            </w:r>
          </w:p>
        </w:tc>
      </w:tr>
    </w:tbl>
    <w:p>
      <w:r>
        <w:rPr>
          <w:i/>
          <w:color w:val="444444"/>
          <w:sz w:val="18"/>
        </w:rPr>
        <w:t>Note: Written at user request for a name rated Ambiguous, not Keep. Figures are from search summaries and were not checked against filings.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