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60"/>
      </w:pPr>
      <w:r>
        <w:rPr>
          <w:b/>
          <w:bCs/>
        </w:rPr>
        <w:t xml:space="preserve">Weekly Equity-Raise Candidate Research — Summary</w:t>
      </w:r>
    </w:p>
    <w:p>
      <w:pPr>
        <w:spacing w:after="160"/>
      </w:pPr>
      <w:r>
        <w:rPr>
          <w:i/>
          <w:iCs/>
        </w:rPr>
        <w:t xml:space="preserve">Week of 2026-08-30</w:t>
      </w:r>
    </w:p>
    <w:p>
      <w:pPr>
        <w:pStyle w:val="Heading1"/>
        <w:spacing w:after="120" w:before="240"/>
      </w:pPr>
      <w:r>
        <w:rPr>
          <w:b/>
          <w:bCs/>
        </w:rPr>
        <w:t xml:space="preserve">Up-Screen (weekly-lists/candidates.csv)</w:t>
      </w:r>
    </w:p>
    <w:p>
      <w:pPr>
        <w:spacing w:after="160"/>
      </w:pPr>
      <w:r>
        <w:t xml:space="preserve">This week's up-screen produced 1 candidate: PGEN (Precigen Inc.), capital_need_score 80.2 — above the research threshold of 15, so it received full deep research. Verdict: Keep. A one-pager was written (PGEN_one_pager.docx).</w:t>
      </w:r>
    </w:p>
    <w:p>
      <w:pPr>
        <w:pStyle w:val="Heading1"/>
        <w:spacing w:after="120" w:before="240"/>
      </w:pPr>
      <w:r>
        <w:rPr>
          <w:b/>
          <w:bCs/>
        </w:rPr>
        <w:t xml:space="preserve">Distress-Screen (weekly-lists/candidates_distress.csv)</w:t>
      </w:r>
    </w:p>
    <w:p>
      <w:pPr>
        <w:spacing w:after="160"/>
      </w:pPr>
      <w:r>
        <w:t xml:space="preserve">This week's distress-screen produced 1 candidate: ASLE (AerSale Corporation), capital_need_score 72.2 — above the research threshold of 15, so it received full deep research. Verdict: Keep. A one-pager was written (ASLE_one_pager.docx).</w:t>
      </w:r>
    </w:p>
    <w:p>
      <w:pPr>
        <w:pStyle w:val="Heading1"/>
        <w:spacing w:after="120" w:before="240"/>
      </w:pPr>
      <w:r>
        <w:rPr>
          <w:b/>
          <w:bCs/>
        </w:rPr>
        <w:t xml:space="preserve">Keep Names — One-Pager Summary (Both Screens)</w:t>
      </w:r>
    </w:p>
    <w:tbl>
      <w:tblPr>
        <w:tblW w:type="dxa" w:w="10350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999999" w:sz="4"/>
          <w:insideV w:val="single" w:color="999999" w:sz="4"/>
        </w:tblBorders>
      </w:tblPr>
      <w:tblGrid>
        <w:gridCol w:w="1400"/>
        <w:gridCol w:w="1900"/>
        <w:gridCol w:w="1900"/>
        <w:gridCol w:w="1900"/>
        <w:gridCol w:w="1600"/>
        <w:gridCol w:w="1650"/>
      </w:tblGrid>
      <w:tr>
        <w:trPr>
          <w:tblHeader/>
        </w:trPr>
        <w:tc>
          <w:tcPr>
            <w:tcW w:type="dxa" w:w="1400"/>
            <w:shd w:fill="D9D9D9" w:color="auto" w:val="clear"/>
            <w:vAlign w:val="center"/>
          </w:tcPr>
          <w:p>
            <w:r>
              <w:rPr>
                <w:b/>
                <w:bCs/>
                <w:sz w:val="18"/>
                <w:szCs w:val="18"/>
              </w:rPr>
              <w:t xml:space="preserve">Screen</w:t>
            </w:r>
          </w:p>
        </w:tc>
        <w:tc>
          <w:tcPr>
            <w:tcW w:type="dxa" w:w="1900"/>
            <w:shd w:fill="D9D9D9" w:color="auto" w:val="clear"/>
            <w:vAlign w:val="center"/>
          </w:tcPr>
          <w:p>
            <w:r>
              <w:rPr>
                <w:b/>
                <w:bCs/>
                <w:sz w:val="18"/>
                <w:szCs w:val="18"/>
              </w:rPr>
              <w:t xml:space="preserve">Ticker</w:t>
            </w:r>
          </w:p>
        </w:tc>
        <w:tc>
          <w:tcPr>
            <w:tcW w:type="dxa" w:w="1900"/>
            <w:shd w:fill="D9D9D9" w:color="auto" w:val="clear"/>
            <w:vAlign w:val="center"/>
          </w:tcPr>
          <w:p>
            <w:r>
              <w:rPr>
                <w:b/>
                <w:bCs/>
                <w:sz w:val="18"/>
                <w:szCs w:val="18"/>
              </w:rPr>
              <w:t xml:space="preserve">Market Cap</w:t>
            </w:r>
          </w:p>
        </w:tc>
        <w:tc>
          <w:tcPr>
            <w:tcW w:type="dxa" w:w="1900"/>
            <w:shd w:fill="D9D9D9" w:color="auto" w:val="clear"/>
            <w:vAlign w:val="center"/>
          </w:tcPr>
          <w:p>
            <w:r>
              <w:rPr>
                <w:b/>
                <w:bCs/>
                <w:sz w:val="18"/>
                <w:szCs w:val="18"/>
              </w:rPr>
              <w:t xml:space="preserve">Raise Size</w:t>
            </w:r>
          </w:p>
        </w:tc>
        <w:tc>
          <w:tcPr>
            <w:tcW w:type="dxa" w:w="1600"/>
            <w:shd w:fill="D9D9D9" w:color="auto" w:val="clear"/>
            <w:vAlign w:val="center"/>
          </w:tcPr>
          <w:p>
            <w:r>
              <w:rPr>
                <w:b/>
                <w:bCs/>
                <w:sz w:val="18"/>
                <w:szCs w:val="18"/>
              </w:rPr>
              <w:t xml:space="preserve">% of Mkt Cap</w:t>
            </w:r>
          </w:p>
        </w:tc>
        <w:tc>
          <w:tcPr>
            <w:tcW w:type="dxa" w:w="1650"/>
            <w:shd w:fill="D9D9D9" w:color="auto" w:val="clear"/>
            <w:vAlign w:val="center"/>
          </w:tcPr>
          <w:p>
            <w:r>
              <w:rPr>
                <w:b/>
                <w:bCs/>
                <w:sz w:val="18"/>
                <w:szCs w:val="18"/>
              </w:rPr>
              <w:t xml:space="preserve">Urgency</w:t>
            </w:r>
          </w:p>
        </w:tc>
      </w:tr>
      <w:tr>
        <w:tc>
          <w:tcPr>
            <w:tcW w:type="dxa" w:w="1400"/>
            <w:vAlign w:val="center"/>
          </w:tcPr>
          <w:p>
            <w:r>
              <w:rPr>
                <w:sz w:val="18"/>
                <w:szCs w:val="18"/>
              </w:rPr>
              <w:t xml:space="preserve">Up</w:t>
            </w:r>
          </w:p>
        </w:tc>
        <w:tc>
          <w:tcPr>
            <w:tcW w:type="dxa" w:w="1900"/>
            <w:vAlign w:val="center"/>
          </w:tcPr>
          <w:p>
            <w:r>
              <w:rPr>
                <w:sz w:val="18"/>
                <w:szCs w:val="18"/>
              </w:rPr>
              <w:t xml:space="preserve">PGEN</w:t>
            </w:r>
          </w:p>
        </w:tc>
        <w:tc>
          <w:tcPr>
            <w:tcW w:type="dxa" w:w="1900"/>
            <w:vAlign w:val="center"/>
          </w:tcPr>
          <w:p>
            <w:r>
              <w:rPr>
                <w:sz w:val="18"/>
                <w:szCs w:val="18"/>
              </w:rPr>
              <w:t xml:space="preserve">$2,488.3M</w:t>
            </w:r>
          </w:p>
        </w:tc>
        <w:tc>
          <w:tcPr>
            <w:tcW w:type="dxa" w:w="1900"/>
            <w:vAlign w:val="center"/>
          </w:tcPr>
          <w:p>
            <w:r>
              <w:rPr>
                <w:sz w:val="18"/>
                <w:szCs w:val="18"/>
              </w:rPr>
              <w:t xml:space="preserve">$497.7M</w:t>
            </w:r>
          </w:p>
        </w:tc>
        <w:tc>
          <w:tcPr>
            <w:tcW w:type="dxa" w:w="1600"/>
            <w:vAlign w:val="center"/>
          </w:tcPr>
          <w:p>
            <w:r>
              <w:rPr>
                <w:sz w:val="18"/>
                <w:szCs w:val="18"/>
              </w:rPr>
              <w:t xml:space="preserve">20.0%</w:t>
            </w:r>
          </w:p>
        </w:tc>
        <w:tc>
          <w:tcPr>
            <w:tcW w:type="dxa" w:w="1650"/>
            <w:vAlign w:val="center"/>
          </w:tcPr>
          <w:p>
            <w:r>
              <w:rPr>
                <w:sz w:val="18"/>
                <w:szCs w:val="18"/>
              </w:rPr>
              <w:t xml:space="preserve">Medium</w:t>
            </w:r>
          </w:p>
        </w:tc>
      </w:tr>
      <w:tr>
        <w:tc>
          <w:tcPr>
            <w:tcW w:type="dxa" w:w="1400"/>
            <w:vAlign w:val="center"/>
          </w:tcPr>
          <w:p>
            <w:r>
              <w:rPr>
                <w:sz w:val="18"/>
                <w:szCs w:val="18"/>
              </w:rPr>
              <w:t xml:space="preserve">Distress</w:t>
            </w:r>
          </w:p>
        </w:tc>
        <w:tc>
          <w:tcPr>
            <w:tcW w:type="dxa" w:w="1900"/>
            <w:vAlign w:val="center"/>
          </w:tcPr>
          <w:p>
            <w:r>
              <w:rPr>
                <w:sz w:val="18"/>
                <w:szCs w:val="18"/>
              </w:rPr>
              <w:t xml:space="preserve">ASLE</w:t>
            </w:r>
          </w:p>
        </w:tc>
        <w:tc>
          <w:tcPr>
            <w:tcW w:type="dxa" w:w="1900"/>
            <w:vAlign w:val="center"/>
          </w:tcPr>
          <w:p>
            <w:r>
              <w:rPr>
                <w:sz w:val="18"/>
                <w:szCs w:val="18"/>
              </w:rPr>
              <w:t xml:space="preserve">$268.7M</w:t>
            </w:r>
          </w:p>
        </w:tc>
        <w:tc>
          <w:tcPr>
            <w:tcW w:type="dxa" w:w="1900"/>
            <w:vAlign w:val="center"/>
          </w:tcPr>
          <w:p>
            <w:r>
              <w:rPr>
                <w:sz w:val="18"/>
                <w:szCs w:val="18"/>
              </w:rPr>
              <w:t xml:space="preserve">$75.0M</w:t>
            </w:r>
          </w:p>
        </w:tc>
        <w:tc>
          <w:tcPr>
            <w:tcW w:type="dxa" w:w="1600"/>
            <w:vAlign w:val="center"/>
          </w:tcPr>
          <w:p>
            <w:r>
              <w:rPr>
                <w:sz w:val="18"/>
                <w:szCs w:val="18"/>
              </w:rPr>
              <w:t xml:space="preserve">27.9%</w:t>
            </w:r>
          </w:p>
        </w:tc>
        <w:tc>
          <w:tcPr>
            <w:tcW w:type="dxa" w:w="1650"/>
            <w:vAlign w:val="center"/>
          </w:tcPr>
          <w:p>
            <w:r>
              <w:rPr>
                <w:sz w:val="18"/>
                <w:szCs w:val="18"/>
              </w:rPr>
              <w:t xml:space="preserve">Medium-High</w:t>
            </w:r>
          </w:p>
        </w:tc>
      </w:tr>
    </w:tbl>
    <w:p>
      <w:pPr>
        <w:spacing w:before="240"/>
      </w:pPr>
    </w:p>
    <w:p>
      <w:pPr>
        <w:pStyle w:val="Heading1"/>
        <w:spacing w:after="120" w:before="240"/>
      </w:pPr>
      <w:r>
        <w:rPr>
          <w:b/>
          <w:bCs/>
        </w:rPr>
        <w:t xml:space="preserve">Full Disposition — Every Candidate in Both Input Files</w:t>
      </w:r>
    </w:p>
    <w:p>
      <w:pPr>
        <w:spacing w:after="160"/>
      </w:pPr>
      <w:r>
        <w:t xml:space="preserve">One row per candidate across weekly-lists/candidates.csv (Up) and weekly-lists/candidates_distress.csv (Distress). Both files contained exactly one row this week; both were researched and both were Kept.</w:t>
      </w:r>
    </w:p>
    <w:tbl>
      <w:tblPr>
        <w:tblW w:type="dxa" w:w="10850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999999" w:sz="4"/>
          <w:insideV w:val="single" w:color="999999" w:sz="4"/>
        </w:tblBorders>
      </w:tblPr>
      <w:tblGrid>
        <w:gridCol w:w="1400"/>
        <w:gridCol w:w="1300"/>
        <w:gridCol w:w="1600"/>
        <w:gridCol w:w="1700"/>
        <w:gridCol w:w="4850"/>
      </w:tblGrid>
      <w:tr>
        <w:trPr>
          <w:tblHeader/>
        </w:trPr>
        <w:tc>
          <w:tcPr>
            <w:tcW w:type="dxa" w:w="1400"/>
            <w:shd w:fill="D9D9D9" w:color="auto" w:val="clear"/>
            <w:vAlign w:val="center"/>
          </w:tcPr>
          <w:p>
            <w:r>
              <w:rPr>
                <w:b/>
                <w:bCs/>
                <w:sz w:val="18"/>
                <w:szCs w:val="18"/>
              </w:rPr>
              <w:t xml:space="preserve">Screen</w:t>
            </w:r>
          </w:p>
        </w:tc>
        <w:tc>
          <w:tcPr>
            <w:tcW w:type="dxa" w:w="1300"/>
            <w:shd w:fill="D9D9D9" w:color="auto" w:val="clear"/>
            <w:vAlign w:val="center"/>
          </w:tcPr>
          <w:p>
            <w:r>
              <w:rPr>
                <w:b/>
                <w:bCs/>
                <w:sz w:val="18"/>
                <w:szCs w:val="18"/>
              </w:rPr>
              <w:t xml:space="preserve">Ticker</w:t>
            </w:r>
          </w:p>
        </w:tc>
        <w:tc>
          <w:tcPr>
            <w:tcW w:type="dxa" w:w="1600"/>
            <w:shd w:fill="D9D9D9" w:color="auto" w:val="clear"/>
            <w:vAlign w:val="center"/>
          </w:tcPr>
          <w:p>
            <w:r>
              <w:rPr>
                <w:b/>
                <w:bCs/>
                <w:sz w:val="18"/>
                <w:szCs w:val="18"/>
              </w:rPr>
              <w:t xml:space="preserve">Score</w:t>
            </w:r>
          </w:p>
        </w:tc>
        <w:tc>
          <w:tcPr>
            <w:tcW w:type="dxa" w:w="1700"/>
            <w:shd w:fill="D9D9D9" w:color="auto" w:val="clear"/>
            <w:vAlign w:val="center"/>
          </w:tcPr>
          <w:p>
            <w:r>
              <w:rPr>
                <w:b/>
                <w:bCs/>
                <w:sz w:val="18"/>
                <w:szCs w:val="18"/>
              </w:rPr>
              <w:t xml:space="preserve">Disposition</w:t>
            </w:r>
          </w:p>
        </w:tc>
        <w:tc>
          <w:tcPr>
            <w:tcW w:type="dxa" w:w="4850"/>
            <w:shd w:fill="D9D9D9" w:color="auto" w:val="clear"/>
            <w:vAlign w:val="center"/>
          </w:tcPr>
          <w:p>
            <w:r>
              <w:rPr>
                <w:b/>
                <w:bCs/>
                <w:sz w:val="18"/>
                <w:szCs w:val="18"/>
              </w:rPr>
              <w:t xml:space="preserve">Reason</w:t>
            </w:r>
          </w:p>
        </w:tc>
      </w:tr>
      <w:tr>
        <w:tc>
          <w:tcPr>
            <w:tcW w:type="dxa" w:w="1400"/>
            <w:vAlign w:val="center"/>
          </w:tcPr>
          <w:p>
            <w:r>
              <w:rPr>
                <w:sz w:val="18"/>
                <w:szCs w:val="18"/>
              </w:rPr>
              <w:t xml:space="preserve">Up</w:t>
            </w:r>
          </w:p>
        </w:tc>
        <w:tc>
          <w:tcPr>
            <w:tcW w:type="dxa" w:w="1300"/>
            <w:vAlign w:val="center"/>
          </w:tcPr>
          <w:p>
            <w:r>
              <w:rPr>
                <w:sz w:val="18"/>
                <w:szCs w:val="18"/>
              </w:rPr>
              <w:t xml:space="preserve">PGEN</w:t>
            </w:r>
          </w:p>
        </w:tc>
        <w:tc>
          <w:tcPr>
            <w:tcW w:type="dxa" w:w="1600"/>
            <w:vAlign w:val="center"/>
          </w:tcPr>
          <w:p>
            <w:r>
              <w:rPr>
                <w:sz w:val="18"/>
                <w:szCs w:val="18"/>
              </w:rPr>
              <w:t xml:space="preserve">80.2</w:t>
            </w:r>
          </w:p>
        </w:tc>
        <w:tc>
          <w:tcPr>
            <w:tcW w:type="dxa" w:w="1700"/>
            <w:vAlign w:val="center"/>
          </w:tcPr>
          <w:p>
            <w:r>
              <w:rPr>
                <w:sz w:val="18"/>
                <w:szCs w:val="18"/>
              </w:rPr>
              <w:t xml:space="preserve">Keep</w:t>
            </w:r>
          </w:p>
        </w:tc>
        <w:tc>
          <w:tcPr>
            <w:tcW w:type="dxa" w:w="4850"/>
            <w:vAlign w:val="center"/>
          </w:tcPr>
          <w:p>
            <w:r>
              <w:rPr>
                <w:sz w:val="18"/>
                <w:szCs w:val="18"/>
              </w:rPr>
              <w:t xml:space="preserve">Thin/falling cash ($38.7M, down $18M in one quarter) and management's own end-2026 breakeven target is contingent on collecting a specific $71.9M AR balance; no recent (within-window) PIPE; mixed (not anti-equity) financing history; stock up 54% into a fresh FDA approval/launch. One-pager written.</w:t>
            </w:r>
          </w:p>
        </w:tc>
      </w:tr>
      <w:tr>
        <w:tc>
          <w:tcPr>
            <w:tcW w:type="dxa" w:w="1400"/>
            <w:vAlign w:val="center"/>
          </w:tcPr>
          <w:p>
            <w:r>
              <w:rPr>
                <w:sz w:val="18"/>
                <w:szCs w:val="18"/>
              </w:rPr>
              <w:t xml:space="preserve">Distress</w:t>
            </w:r>
          </w:p>
        </w:tc>
        <w:tc>
          <w:tcPr>
            <w:tcW w:type="dxa" w:w="1300"/>
            <w:vAlign w:val="center"/>
          </w:tcPr>
          <w:p>
            <w:r>
              <w:rPr>
                <w:sz w:val="18"/>
                <w:szCs w:val="18"/>
              </w:rPr>
              <w:t xml:space="preserve">ASLE</w:t>
            </w:r>
          </w:p>
        </w:tc>
        <w:tc>
          <w:tcPr>
            <w:tcW w:type="dxa" w:w="1600"/>
            <w:vAlign w:val="center"/>
          </w:tcPr>
          <w:p>
            <w:r>
              <w:rPr>
                <w:sz w:val="18"/>
                <w:szCs w:val="18"/>
              </w:rPr>
              <w:t xml:space="preserve">72.2</w:t>
            </w:r>
          </w:p>
        </w:tc>
        <w:tc>
          <w:tcPr>
            <w:tcW w:type="dxa" w:w="1700"/>
            <w:vAlign w:val="center"/>
          </w:tcPr>
          <w:p>
            <w:r>
              <w:rPr>
                <w:sz w:val="18"/>
                <w:szCs w:val="18"/>
              </w:rPr>
              <w:t xml:space="preserve">Keep</w:t>
            </w:r>
          </w:p>
        </w:tc>
        <w:tc>
          <w:tcPr>
            <w:tcW w:type="dxa" w:w="4850"/>
            <w:vAlign w:val="center"/>
          </w:tcPr>
          <w:p>
            <w:r>
              <w:rPr>
                <w:sz w:val="18"/>
                <w:szCs w:val="18"/>
              </w:rPr>
              <w:t xml:space="preserve">Revolver utilization jumped from 63% to 82% drawn in 8 months ($148.2M of $180M facility) with only $2.2M cash and $31.8M availability left, funding a real leasing-portfolio buildout; no going-concern or delisting language found, but debt capacity is genuinely close to tapped out. One-pager written.</w:t>
            </w:r>
          </w:p>
        </w:tc>
      </w:tr>
    </w:tbl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2026-08-30T21:48:36.479Z</dcterms:created>
  <dcterms:modified xsi:type="dcterms:W3CDTF">2026-08-30T21:48:36.479Z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