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rPr>
        <w:t xml:space="preserve">ASLE — AerSale Corporation</w:t>
      </w:r>
    </w:p>
    <w:p>
      <w:pPr>
        <w:spacing w:after="60"/>
      </w:pPr>
      <w:r>
        <w:rPr>
          <w:b/>
          <w:bCs/>
        </w:rPr>
        <w:t xml:space="preserve">Sector / Industry: </w:t>
      </w:r>
      <w:r>
        <w:t xml:space="preserve">Consumer Discretionary / Industrial Specialties (aviation MRO, parts, and leasing)</w:t>
      </w:r>
    </w:p>
    <w:p>
      <w:pPr>
        <w:spacing w:after="60"/>
      </w:pPr>
      <w:r>
        <w:rPr>
          <w:b/>
          <w:bCs/>
        </w:rPr>
        <w:t xml:space="preserve">Current Market Cap: </w:t>
      </w:r>
      <w:r>
        <w:t xml:space="preserve">$268.7M</w:t>
      </w:r>
    </w:p>
    <w:p>
      <w:pPr>
        <w:spacing w:after="60"/>
      </w:pPr>
      <w:r>
        <w:rPr>
          <w:b/>
          <w:bCs/>
        </w:rPr>
        <w:t xml:space="preserve">Proposed Raise Size: </w:t>
      </w:r>
      <w:r>
        <w:t xml:space="preserve">$75.0M (~27.9% of current market cap; below the 40% distress-screen cap)</w:t>
      </w:r>
    </w:p>
    <w:p>
      <w:pPr>
        <w:spacing w:after="60"/>
      </w:pPr>
      <w:r>
        <w:rPr>
          <w:b/>
          <w:bCs/>
        </w:rPr>
        <w:t xml:space="preserve">Screen / Verdict: </w:t>
      </w:r>
      <w:r>
        <w:t xml:space="preserve">Distress-screen — Keep</w:t>
      </w:r>
    </w:p>
    <w:p>
      <w:pPr>
        <w:pStyle w:val="Heading2"/>
        <w:spacing w:after="100" w:before="200"/>
      </w:pPr>
      <w:r>
        <w:rPr>
          <w:b/>
          <w:bCs/>
        </w:rPr>
        <w:t xml:space="preserve">1. Thesis</w:t>
      </w:r>
    </w:p>
    <w:p>
      <w:pPr>
        <w:spacing w:after="160"/>
      </w:pPr>
      <w:r>
        <w:t xml:space="preserve">AerSale is nominally profitable (TTM net income +$8.6M) but is running a genuine, tightening liquidity squeeze funding an inventory-heavy pivot toward aircraft and engine leasing. Cash on hand was just $2.2M as of the Q2 2026 print. Its $180M revolving credit facility (Wells Fargo, expandable to $200M) went from 63% drawn at year-end 2025 ($112.8M drawn / $67.2M available) to 82% drawn by Q2 2026 ($148.2M drawn / only $31.8M available) — a $35.4M increase in draw over 8 months, with available capacity collapsing 53% in that window. Total liquidity (cash plus revolver availability) is down to $34.0M. The stated driver is heavy investment in inventory (aircraft, engines, parts) and expanded aircraft/engines held for lease — a real, working-capital-funded growth story rather than deteriorating collections — but it means the balance-sheet cushion that would normally absorb a down year is nearly gone. No going-concern language and no exchange delisting notice were found in the research, so this is a debt-capacity-exhaustion story specifically, not a going-concern one.</w:t>
      </w:r>
    </w:p>
    <w:p>
      <w:pPr>
        <w:pStyle w:val="Heading2"/>
        <w:spacing w:after="100" w:before="200"/>
      </w:pPr>
      <w:r>
        <w:rPr>
          <w:b/>
          <w:bCs/>
        </w:rPr>
        <w:t xml:space="preserve">2. Use of Proceeds</w:t>
      </w:r>
    </w:p>
    <w:p>
      <w:pPr>
        <w:spacing w:after="160"/>
      </w:pPr>
      <w:r>
        <w:t xml:space="preserve">Pay down a meaningful portion of the revolver draw (from $148.2M toward roughly $73M) to restore comfortable, sustainable borrowing-base headroom, while continuing to fund the aircraft/engine/parts inventory build-out for the leasing portfolio that management has identified as the company's own growth driver — without forcing a slowdown of that pivot purely because the credit line is running out of room.</w:t>
      </w:r>
    </w:p>
    <w:p>
      <w:pPr>
        <w:pStyle w:val="Heading2"/>
        <w:spacing w:after="100" w:before="200"/>
      </w:pPr>
      <w:r>
        <w:rPr>
          <w:b/>
          <w:bCs/>
        </w:rPr>
        <w:t xml:space="preserve">3. Timing</w:t>
      </w:r>
    </w:p>
    <w:p>
      <w:pPr>
        <w:spacing w:after="160"/>
      </w:pPr>
      <w:r>
        <w:t xml:space="preserve">At the current draw-down pace (roughly $35M added to the revolver every 8 months), AerSale is on a trajectory to approach full utilization of its $180-200M facility within roughly two to three quarters if unaddressed. That is a hard, arithmetic-driven internal clock rather than a soft target.</w:t>
      </w:r>
    </w:p>
    <w:p>
      <w:pPr>
        <w:pStyle w:val="Heading2"/>
        <w:spacing w:after="100" w:before="200"/>
      </w:pPr>
      <w:r>
        <w:rPr>
          <w:b/>
          <w:bCs/>
        </w:rPr>
        <w:t xml:space="preserve">4. Why Raise Now</w:t>
      </w:r>
    </w:p>
    <w:p>
      <w:pPr>
        <w:spacing w:after="160"/>
      </w:pPr>
      <w:r>
        <w:t xml:space="preserve">The alternative to raising equity here is not bankruptcy or default — it is a forced slowdown of the leasing-portfolio buildout that management itself has flagged as the growth driver, capping upside just as the pivot is gaining traction (adjusted EBITDA more than doubled in Q1 2026). A rescue/growth-oriented equity investor gets exposure to a leasing-pivot story at a stock price down 34.8% over the year, with revolver headroom — rather than going-concern distress — as the actual constraint being relieved, which is an easier underwrite than a classic covenant-breach or insolvency story since there is no going-concern language or delisting notice attached.</w:t>
      </w:r>
    </w:p>
    <w:p>
      <w:pPr>
        <w:pStyle w:val="Heading2"/>
        <w:spacing w:after="100" w:before="200"/>
      </w:pPr>
      <w:r>
        <w:rPr>
          <w:b/>
          <w:bCs/>
        </w:rPr>
        <w:t xml:space="preserve">5. Risks to the Pitch</w:t>
      </w:r>
    </w:p>
    <w:p>
      <w:pPr>
        <w:spacing w:after="160"/>
      </w:pPr>
      <w:r>
        <w:t xml:space="preserve">Because no going-concern language and no exchange delisting notice were found, the urgency case rests entirely on the revolver-utilization trend — a softer sell than a hard compliance deadline, and one that invites the response 'just draw the remaining $31.8M, or negotiate a facility upsize, instead of diluting equity.' AerSale is also nominally GAAP-profitable, which cuts against a pure distress framing and could make the board resistant to the degree of dilution implied by a $75M raise against a $268.7M market cap (~28%). Investor appetite for a growth-capex equity story at a company that is not distressed in the classic sense may be thinner than for an outright rescue deal, and existing lenders under the Wells Fargo facility may have consent rights that complicate a new capital raise.</w:t>
      </w:r>
    </w:p>
    <w:p>
      <w:pPr>
        <w:pStyle w:val="Heading2"/>
        <w:spacing w:after="100" w:before="200"/>
      </w:pPr>
      <w:r>
        <w:rPr>
          <w:b/>
          <w:bCs/>
        </w:rPr>
        <w:t xml:space="preserve">6. Summary Table Row</w:t>
      </w:r>
    </w:p>
    <w:tbl>
      <w:tblPr>
        <w:tblW w:type="dxa" w:w="9350"/>
        <w:tblBorders>
          <w:top w:val="single" w:color="999999" w:sz="4"/>
          <w:left w:val="single" w:color="999999" w:sz="4"/>
          <w:bottom w:val="single" w:color="999999" w:sz="4"/>
          <w:right w:val="single" w:color="999999" w:sz="4"/>
          <w:insideH w:val="single" w:color="999999" w:sz="4"/>
          <w:insideV w:val="single" w:color="999999" w:sz="4"/>
        </w:tblBorders>
      </w:tblPr>
      <w:tblGrid>
        <w:gridCol w:w="1600"/>
        <w:gridCol w:w="2000"/>
        <w:gridCol w:w="2000"/>
        <w:gridCol w:w="2000"/>
        <w:gridCol w:w="1750"/>
      </w:tblGrid>
      <w:tr>
        <w:trPr>
          <w:tblHeader/>
        </w:trPr>
        <w:tc>
          <w:tcPr>
            <w:tcW w:type="dxa" w:w="1600"/>
            <w:shd w:fill="D9D9D9" w:color="auto" w:val="clear"/>
            <w:vAlign w:val="center"/>
          </w:tcPr>
          <w:p>
            <w:r>
              <w:rPr>
                <w:b/>
                <w:bCs/>
                <w:sz w:val="18"/>
                <w:szCs w:val="18"/>
              </w:rPr>
              <w:t xml:space="preserve">Ticker</w:t>
            </w:r>
          </w:p>
        </w:tc>
        <w:tc>
          <w:tcPr>
            <w:tcW w:type="dxa" w:w="2000"/>
            <w:shd w:fill="D9D9D9" w:color="auto" w:val="clear"/>
            <w:vAlign w:val="center"/>
          </w:tcPr>
          <w:p>
            <w:r>
              <w:rPr>
                <w:b/>
                <w:bCs/>
                <w:sz w:val="18"/>
                <w:szCs w:val="18"/>
              </w:rPr>
              <w:t xml:space="preserve">Market Cap</w:t>
            </w:r>
          </w:p>
        </w:tc>
        <w:tc>
          <w:tcPr>
            <w:tcW w:type="dxa" w:w="2000"/>
            <w:shd w:fill="D9D9D9" w:color="auto" w:val="clear"/>
            <w:vAlign w:val="center"/>
          </w:tcPr>
          <w:p>
            <w:r>
              <w:rPr>
                <w:b/>
                <w:bCs/>
                <w:sz w:val="18"/>
                <w:szCs w:val="18"/>
              </w:rPr>
              <w:t xml:space="preserve">Raise Size</w:t>
            </w:r>
          </w:p>
        </w:tc>
        <w:tc>
          <w:tcPr>
            <w:tcW w:type="dxa" w:w="2000"/>
            <w:shd w:fill="D9D9D9" w:color="auto" w:val="clear"/>
            <w:vAlign w:val="center"/>
          </w:tcPr>
          <w:p>
            <w:r>
              <w:rPr>
                <w:b/>
                <w:bCs/>
                <w:sz w:val="18"/>
                <w:szCs w:val="18"/>
              </w:rPr>
              <w:t xml:space="preserve">% of Market Cap</w:t>
            </w:r>
          </w:p>
        </w:tc>
        <w:tc>
          <w:tcPr>
            <w:tcW w:type="dxa" w:w="1750"/>
            <w:shd w:fill="D9D9D9" w:color="auto" w:val="clear"/>
            <w:vAlign w:val="center"/>
          </w:tcPr>
          <w:p>
            <w:r>
              <w:rPr>
                <w:b/>
                <w:bCs/>
                <w:sz w:val="18"/>
                <w:szCs w:val="18"/>
              </w:rPr>
              <w:t xml:space="preserve">Urgency</w:t>
            </w:r>
          </w:p>
        </w:tc>
      </w:tr>
      <w:tr>
        <w:tc>
          <w:tcPr>
            <w:tcW w:type="dxa" w:w="1600"/>
            <w:vAlign w:val="center"/>
          </w:tcPr>
          <w:p>
            <w:r>
              <w:rPr>
                <w:sz w:val="18"/>
                <w:szCs w:val="18"/>
              </w:rPr>
              <w:t xml:space="preserve">ASLE</w:t>
            </w:r>
          </w:p>
        </w:tc>
        <w:tc>
          <w:tcPr>
            <w:tcW w:type="dxa" w:w="2000"/>
            <w:vAlign w:val="center"/>
          </w:tcPr>
          <w:p>
            <w:r>
              <w:rPr>
                <w:sz w:val="18"/>
                <w:szCs w:val="18"/>
              </w:rPr>
              <w:t xml:space="preserve">$268.7M</w:t>
            </w:r>
          </w:p>
        </w:tc>
        <w:tc>
          <w:tcPr>
            <w:tcW w:type="dxa" w:w="2000"/>
            <w:vAlign w:val="center"/>
          </w:tcPr>
          <w:p>
            <w:r>
              <w:rPr>
                <w:sz w:val="18"/>
                <w:szCs w:val="18"/>
              </w:rPr>
              <w:t xml:space="preserve">$75.0M</w:t>
            </w:r>
          </w:p>
        </w:tc>
        <w:tc>
          <w:tcPr>
            <w:tcW w:type="dxa" w:w="2000"/>
            <w:vAlign w:val="center"/>
          </w:tcPr>
          <w:p>
            <w:r>
              <w:rPr>
                <w:sz w:val="18"/>
                <w:szCs w:val="18"/>
              </w:rPr>
              <w:t xml:space="preserve">27.9%</w:t>
            </w:r>
          </w:p>
        </w:tc>
        <w:tc>
          <w:tcPr>
            <w:tcW w:type="dxa" w:w="1750"/>
            <w:vAlign w:val="center"/>
          </w:tcPr>
          <w:p>
            <w:r>
              <w:rPr>
                <w:sz w:val="18"/>
                <w:szCs w:val="18"/>
              </w:rPr>
              <w:t xml:space="preserve">Medium-High</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2026-08-30T21:48:36.487Z</dcterms:created>
  <dcterms:modified xsi:type="dcterms:W3CDTF">2026-08-30T21:48:36.487Z</dcterms:modified>
</cp:coreProperties>
</file>

<file path=docProps/custom.xml><?xml version="1.0" encoding="utf-8"?>
<Properties xmlns="http://schemas.openxmlformats.org/officeDocument/2006/custom-properties" xmlns:vt="http://schemas.openxmlformats.org/officeDocument/2006/docPropsVTypes"/>
</file>