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PGEN — Precigen Inc.</w:t>
      </w:r>
    </w:p>
    <w:p>
      <w:pPr>
        <w:spacing w:after="60"/>
      </w:pPr>
      <w:r>
        <w:rPr>
          <w:b/>
          <w:bCs/>
        </w:rPr>
        <w:t xml:space="preserve">Sector / Industry: </w:t>
      </w:r>
      <w:r>
        <w:t xml:space="preserve">Health Care / Biotechnology: Pharmaceutical Preparations</w:t>
      </w:r>
    </w:p>
    <w:p>
      <w:pPr>
        <w:spacing w:after="60"/>
      </w:pPr>
      <w:r>
        <w:rPr>
          <w:b/>
          <w:bCs/>
        </w:rPr>
        <w:t xml:space="preserve">Current Market Cap: </w:t>
      </w:r>
      <w:r>
        <w:t xml:space="preserve">$2,488.3M (~$2.49B)</w:t>
      </w:r>
    </w:p>
    <w:p>
      <w:pPr>
        <w:spacing w:after="60"/>
      </w:pPr>
      <w:r>
        <w:rPr>
          <w:b/>
          <w:bCs/>
        </w:rPr>
        <w:t xml:space="preserve">Proposed Raise Size: </w:t>
      </w:r>
      <w:r>
        <w:t xml:space="preserve">$497.7M (up to 20% of current market cap)</w:t>
      </w:r>
    </w:p>
    <w:p>
      <w:pPr>
        <w:spacing w:after="60"/>
      </w:pPr>
      <w:r>
        <w:rPr>
          <w:b/>
          <w:bCs/>
        </w:rPr>
        <w:t xml:space="preserve">Screen / Verdict: </w:t>
      </w:r>
      <w:r>
        <w:t xml:space="preserve">Up-screen — Keep</w:t>
      </w:r>
    </w:p>
    <w:p>
      <w:pPr>
        <w:pStyle w:val="Heading2"/>
        <w:spacing w:after="100" w:before="200"/>
      </w:pPr>
      <w:r>
        <w:rPr>
          <w:b/>
          <w:bCs/>
        </w:rPr>
        <w:t xml:space="preserve">1. Thesis</w:t>
      </w:r>
    </w:p>
    <w:p>
      <w:pPr>
        <w:spacing w:after="160"/>
      </w:pPr>
      <w:r>
        <w:t xml:space="preserve">Cash is thin and falling fast: $38.7M cash at Q2 2026, down from $56.7M at Q1 2026 (-$18M in a single quarter), against a net debt position of -$60.1M (total debt $98.35M). Precigen just posted its first-ever quarterly GAAP profit in Q2 2026, driven by PAPZIMEOS (PRGN-2012) launch revenue of $53.1M (+145% YoY, roughly doubled quarter-over-quarter) following the drug's August 2025 FDA approval for recurrent respiratory papillomatosis — but that one strong quarter sits against a full-year 2024 net loss of $126.2M. Management's own target of cash-flow breakeven by end of 2026 is explicitly contingent on collecting $71.9M of outstanding accounts receivable — a real, quantified, near-term liquidity gate, not a comfortable cushion. The stock is up 54.1% over the trailing year on the approval and launch news, making this a good window to raise into strength rather than distress.</w:t>
      </w:r>
    </w:p>
    <w:p>
      <w:pPr>
        <w:pStyle w:val="Heading2"/>
        <w:spacing w:after="100" w:before="200"/>
      </w:pPr>
      <w:r>
        <w:rPr>
          <w:b/>
          <w:bCs/>
        </w:rPr>
        <w:t xml:space="preserve">2. Use of Proceeds</w:t>
      </w:r>
    </w:p>
    <w:p>
      <w:pPr>
        <w:spacing w:after="160"/>
      </w:pPr>
      <w:r>
        <w:t xml:space="preserve">Bridge the AR-collection-dependent gap to the company's own cash-flow-breakeven target; fund continued PAPZIMEOS commercial launch scale-up (sales infrastructure and inventory build for a newly approved product); and advance the PRGN-2009 program (HPV-associated cancers, including an FDA-cleared IND for a Phase 1/2 combination with pembrolizumab in cervical cancer), which has no disclosed data-readout date yet but represents the next pipeline value driver.</w:t>
      </w:r>
    </w:p>
    <w:p>
      <w:pPr>
        <w:pStyle w:val="Heading2"/>
        <w:spacing w:after="100" w:before="200"/>
      </w:pPr>
      <w:r>
        <w:rPr>
          <w:b/>
          <w:bCs/>
        </w:rPr>
        <w:t xml:space="preserve">3. Timing</w:t>
      </w:r>
    </w:p>
    <w:p>
      <w:pPr>
        <w:spacing w:after="160"/>
      </w:pPr>
      <w:r>
        <w:t xml:space="preserve">Management's internal breakeven target is end of 2026 (roughly four months out), and it is explicitly conditioned on collecting the $71.9M AR balance — a hard, self-imposed calendar marker. The company's non-dilutive Pharmakon debt facility offers a fallback (delayed-draw tranche available through June 29, 2027; final maturity September 2030) but is not unlimited, so the cash position should be restocked before that AR-dependent milestone is tested.</w:t>
      </w:r>
    </w:p>
    <w:p>
      <w:pPr>
        <w:pStyle w:val="Heading2"/>
        <w:spacing w:after="100" w:before="200"/>
      </w:pPr>
      <w:r>
        <w:rPr>
          <w:b/>
          <w:bCs/>
        </w:rPr>
        <w:t xml:space="preserve">4. Why Raise Now</w:t>
      </w:r>
    </w:p>
    <w:p>
      <w:pPr>
        <w:spacing w:after="160"/>
      </w:pPr>
      <w:r>
        <w:t xml:space="preserve">Shares are up 54% over the year and PAPZIMEOS has converted from a pre-approval binary story into a commercial, revenue-generating asset — a materially easier equity story to sell than before approval. Waiting risks a re-rating if Q3/Q4 AR collections slip or the -$18M-per-quarter cash draw-down trend continues, at which point any raise would be priced into weakness instead of strength. An effective S-3 shelf registration (filed February 2025) is already in place, so the company can move quickly without a new registration process.</w:t>
      </w:r>
    </w:p>
    <w:p>
      <w:pPr>
        <w:pStyle w:val="Heading2"/>
        <w:spacing w:after="100" w:before="200"/>
      </w:pPr>
      <w:r>
        <w:rPr>
          <w:b/>
          <w:bCs/>
        </w:rPr>
        <w:t xml:space="preserve">5. Risks to the Pitch</w:t>
      </w:r>
    </w:p>
    <w:p>
      <w:pPr>
        <w:spacing w:after="160"/>
      </w:pPr>
      <w:r>
        <w:t xml:space="preserve">Precigen has shown real willingness to use non-equity levers: it funded itself for years mainly through divestitures (the ~$170M Trans Ova Genetics sale in 2022-23, the Q3 2024 ActoBio facility closure) and a $79.0M convertible-preferred private placement (announced December 2024, since converted into roughly 54.9M common shares in Q3 2025). Management may again prefer a structured or convertible instrument, further non-dilutive debt (undrawn Pharmakon delayed-draw capacity through mid-2027), or simply riding out AR collections rather than a straight secondary offering. There is also dilution-overhang risk: the market absorbed one large preferred-to-common conversion within the past year, and investor appetite for a second equity-linked raise this soon could be softer than the headline stock move suggests.</w:t>
      </w:r>
    </w:p>
    <w:p>
      <w:pPr>
        <w:pStyle w:val="Heading2"/>
        <w:spacing w:after="100" w:before="200"/>
      </w:pPr>
      <w:r>
        <w:rPr>
          <w:b/>
          <w:bCs/>
        </w:rPr>
        <w:t xml:space="preserve">6. Summary Table Row</w:t>
      </w:r>
    </w:p>
    <w:tbl>
      <w:tblPr>
        <w:tblW w:type="dxa" w:w="935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1600"/>
        <w:gridCol w:w="2000"/>
        <w:gridCol w:w="2000"/>
        <w:gridCol w:w="2000"/>
        <w:gridCol w:w="1750"/>
      </w:tblGrid>
      <w:tr>
        <w:trPr>
          <w:tblHeader/>
        </w:trPr>
        <w:tc>
          <w:tcPr>
            <w:tcW w:type="dxa" w:w="1600"/>
            <w:shd w:fill="D9D9D9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Ticker</w:t>
            </w:r>
          </w:p>
        </w:tc>
        <w:tc>
          <w:tcPr>
            <w:tcW w:type="dxa" w:w="2000"/>
            <w:shd w:fill="D9D9D9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Market Cap</w:t>
            </w:r>
          </w:p>
        </w:tc>
        <w:tc>
          <w:tcPr>
            <w:tcW w:type="dxa" w:w="2000"/>
            <w:shd w:fill="D9D9D9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Raise Size</w:t>
            </w:r>
          </w:p>
        </w:tc>
        <w:tc>
          <w:tcPr>
            <w:tcW w:type="dxa" w:w="2000"/>
            <w:shd w:fill="D9D9D9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% of Market Cap</w:t>
            </w:r>
          </w:p>
        </w:tc>
        <w:tc>
          <w:tcPr>
            <w:tcW w:type="dxa" w:w="1750"/>
            <w:shd w:fill="D9D9D9" w:color="auto" w:val="clear"/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Urgency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PGEN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8"/>
                <w:szCs w:val="18"/>
              </w:rPr>
              <w:t xml:space="preserve">$2,488.3M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8"/>
                <w:szCs w:val="18"/>
              </w:rPr>
              <w:t xml:space="preserve">$497.7M</w:t>
            </w:r>
          </w:p>
        </w:tc>
        <w:tc>
          <w:tcPr>
            <w:tcW w:type="dxa" w:w="2000"/>
            <w:vAlign w:val="center"/>
          </w:tcPr>
          <w:p>
            <w:r>
              <w:rPr>
                <w:sz w:val="18"/>
                <w:szCs w:val="18"/>
              </w:rPr>
              <w:t xml:space="preserve">20.0%</w:t>
            </w:r>
          </w:p>
        </w:tc>
        <w:tc>
          <w:tcPr>
            <w:tcW w:type="dxa" w:w="1750"/>
            <w:vAlign w:val="cente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2026-08-30T21:48:36.485Z</dcterms:created>
  <dcterms:modified xsi:type="dcterms:W3CDTF">2026-08-30T21:48:36.485Z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