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Weekly Equity-Raise Candidate Research — Summary</w:t>
      </w:r>
    </w:p>
    <w:p>
      <w:r>
        <w:rPr>
          <w:i w:val="0"/>
          <w:sz w:val="22"/>
        </w:rPr>
        <w:t>Week of 2026-10-03</w:t>
      </w:r>
    </w:p>
    <w:p>
      <w:pPr>
        <w:spacing w:before="280" w:after="120"/>
      </w:pPr>
      <w:r>
        <w:rPr>
          <w:color w:val="2E74B5"/>
          <w:sz w:val="32"/>
        </w:rPr>
        <w:t>Keep Names — One-Pager Summary (Both Screens, Accumulated)</w:t>
      </w:r>
    </w:p>
    <w:p>
      <w:r>
        <w:rPr>
          <w:i w:val="0"/>
          <w:sz w:val="22"/>
        </w:rPr>
        <w:t>Every Keep name with a finished one-pager in this folder, across all batches researched this week.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Market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Raise Size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% of Mkt Cap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Urgency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IVVD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$243.5M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$90.0M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BYND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$202.7M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$65.0M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Medium-High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ATLX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$100.2M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$30.0M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Distress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XLAB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$400.4M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$40.0M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High</w:t>
            </w:r>
          </w:p>
        </w:tc>
      </w:tr>
    </w:tbl>
    <w:p>
      <w:pPr>
        <w:spacing w:before="280" w:after="120"/>
      </w:pPr>
      <w:r>
        <w:rPr>
          <w:color w:val="2E74B5"/>
          <w:sz w:val="32"/>
        </w:rPr>
        <w:t>Full Disposition — Run 2026-10-03: inputs unchanged since 2026-09-06; dispositions carried forward from 2026-09-26 with a news refresh on Keep/Ambiguous names (full re-research not repeated). Pending batches: none (23 names &gt;=25 threshold).</w:t>
      </w:r>
    </w:p>
    <w:tbl>
      <w:tblPr>
        <w:tblW w:type="auto" w:w="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1728"/>
            <w:shd w:val="clear" w:color="auto" w:fill="2E74B5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TUSK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Q1 net income $4.7M, debt-free; using settlement proceeds to pay down debt, not raise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TISI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Recent Sept 2025 Series B preferred + warrants private placement (Stellex Capital) is a disqualifying stealth raise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NAUT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41.0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Genuine burn, but on Sep 11 2026 filed new $125M ATM (TD Cowen) with fresh shelf (~108% of mkt cap, no shares sold yet); company has its own self-serve equity vehicle, so a banked 20% raise pitch is weak; demoted from Keep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LXU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Highly profitable and FCF-positive ($32M Q2); financing preference is debt/capital-structure optimization, not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IPI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$185M cash; funded recent divestiture via asset sale, unused equity shelf despite being available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ZVRA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debt-free, $236.8M cash; recent capital need met via asset sale (SDX portfolio), not equity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BBCP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profitability_override confirmed current: profitable, dividend-initiated, refinanced debt to 2032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NGS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profitability_override confirmed current: profitable, dividend raised 36%, financed acquisition with debt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ATRC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profitable (Q2 net income $9.0M), expanding credit facility; no capital-need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PDEX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profitable, strong organic growth; no distress or capital-need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FIRY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ACTG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AOUT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CIX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CRSR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CTS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SENEB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XPEL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RARE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Ambiguous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Real short runway (~13mo at current burn) but revealed preference for non-dilutive financing ($400M OMERS royalty deal) plus available debt capacity argues against an equity raise being urgent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BDTX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Debt-free with 24-30mo runway and no going-concern language; ample liquidity makes an equity raise non-urgent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IVVD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language, live Nasdaq delisting deficiency (cure deadline 1/19/27), ~11mo runway, no PIPE 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ALTI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 going-concern signal; AUM growing +8% YoY, minimal traditional debt -- misses the distress profile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BRCC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FCF-positive and improving; delisting notice already cured (regained compliance 6/2/26); ample untapped revolver capacity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BYND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Serial capital actions (debt-for-equity swap, DDTL draws) have largely tapped incremental debt capacity; delisting cured via forced reverse split; further raises expected 2027 [Refresh: $15M debt-to-equity conversion Sep 23 reported, consistent with prior capital-action pattern]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ATLX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 in 10-Q; $10.2M note maturity within 12 months; prior ATM/subsidiary raises this year did not resolve the need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ADTN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$319.2M unused revolver capacity untapped; positive OCF; no going-concern or delisting signal -- need not urgent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ENOV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32.0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$942M unused revolver capacity; improving margins; no going-concern or delisting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ARQ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Management states liquidity sufficient for next 12 months; near-breakeven with improving Adj. EBITDA; no going-concern flag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COOK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Delisting risk already cured via 1-for-50 reverse split; term loan maturity 20+ months out; undrawn revolver available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XLAB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Keep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Explicit going-concern language; ~$5-12M cash against $29.2M current liabilities post-SPAC-merger; imminent need [one-pager added this run; prior week had none]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EVCM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 with $129M cash and $155M undrawn revolver; no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YEXT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Profitable, $379M total liquidity, minimal debt burden; no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OLN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profitability_override confirmed current: cyclical Q1 loss but dividend maintained, $1.3B liquidity, debt refinanced to 2033 with no near-term maturity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ADV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EYE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PATK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ANIP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profitable with accelerating earnings ($54.2M YTD net income); decline appears sector-driven, not distress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MYGN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negative EBITDA but adequate liquidity ($115M cash, 2.4x current ratio); no going-concern or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CCAP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RXST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Drop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Spot-checked: unprofitable but $217.9M cash provides 12+ month cushion; no urgency signal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NRDY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MZTI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SAM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TPB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Distress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WINA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Not researched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score below research threshold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