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XLAB — Exascale Labs Holdings Inc.</w:t>
      </w:r>
    </w:p>
    <w:p>
      <w:r>
        <w:rPr>
          <w:i/>
          <w:color w:val="444444"/>
          <w:sz w:val="22"/>
        </w:rPr>
        <w:t>Technology / Software &amp; AI infrastructure</w:t>
      </w:r>
    </w:p>
    <w:p>
      <w:r>
        <w:rPr>
          <w:b/>
          <w:sz w:val="22"/>
        </w:rPr>
        <w:t xml:space="preserve">Current Market Cap:  </w:t>
      </w:r>
      <w:r>
        <w:rPr>
          <w:sz w:val="22"/>
        </w:rPr>
        <w:t>$400.4M</w:t>
      </w:r>
    </w:p>
    <w:p>
      <w:r>
        <w:rPr>
          <w:b/>
          <w:sz w:val="22"/>
        </w:rPr>
        <w:t xml:space="preserve">Proposed Raise Size:  </w:t>
      </w:r>
      <w:r>
        <w:rPr>
          <w:sz w:val="22"/>
        </w:rPr>
        <w:t>$40.0M (10.0% of market cap)</w:t>
      </w:r>
    </w:p>
    <w:p>
      <w:pPr>
        <w:spacing w:before="200" w:after="80"/>
      </w:pPr>
      <w:r>
        <w:rPr>
          <w:color w:val="2E74B5"/>
          <w:sz w:val="26"/>
        </w:rPr>
        <w:t>Thesis</w:t>
      </w:r>
    </w:p>
    <w:p>
      <w:r>
        <w:rPr>
          <w:i w:val="0"/>
          <w:sz w:val="22"/>
        </w:rPr>
        <w:t>Post-SPAC (business combination closed Aug 27, 2026; Nasdaq listing Aug 28). Cash was $2.7M at June 30, 2026, plus roughly $11.8M net proceeds from the closing, against about $29.2M of current liabilities. Prior-week research found explicit going-concern language; reporting indicates under one year of runway and negative shareholders' equity. FY2026 revenue grew 111%, but the balance sheet does not cover near-term obligations.</w:t>
      </w:r>
    </w:p>
    <w:p>
      <w:pPr>
        <w:spacing w:before="200" w:after="80"/>
      </w:pPr>
      <w:r>
        <w:rPr>
          <w:color w:val="2E74B5"/>
          <w:sz w:val="26"/>
        </w:rPr>
        <w:t>Use of Proceeds</w:t>
      </w:r>
    </w:p>
    <w:p>
      <w:r>
        <w:rPr>
          <w:i w:val="0"/>
          <w:sz w:val="22"/>
        </w:rPr>
        <w:t>Retire or refinance the roughly $29M of current liabilities and fund 12 months of operations. Sizing is our estimate: $40M is about the gap between ~$12M of cash and ~$29M of current liabilities, plus working-capital cushion. It is below the 40% cap (about $160M) and about 10% of market cap.</w:t>
      </w:r>
    </w:p>
    <w:p>
      <w:pPr>
        <w:spacing w:before="200" w:after="80"/>
      </w:pPr>
      <w:r>
        <w:rPr>
          <w:color w:val="2E74B5"/>
          <w:sz w:val="26"/>
        </w:rPr>
        <w:t>Timing</w:t>
      </w:r>
    </w:p>
    <w:p>
      <w:r>
        <w:rPr>
          <w:i w:val="0"/>
          <w:sz w:val="22"/>
        </w:rPr>
        <w:t>Immediate. The going-concern flag and the current-liability gap are live now. The new Nasdaq listing and the first earnings update (Sept 28 release) give a fresh disclosure window.</w:t>
      </w:r>
    </w:p>
    <w:p>
      <w:pPr>
        <w:spacing w:before="200" w:after="80"/>
      </w:pPr>
      <w:r>
        <w:rPr>
          <w:color w:val="2E74B5"/>
          <w:sz w:val="26"/>
        </w:rPr>
        <w:t>Why Raise Now</w:t>
      </w:r>
    </w:p>
    <w:p>
      <w:r>
        <w:rPr>
          <w:i w:val="0"/>
          <w:sz w:val="22"/>
        </w:rPr>
        <w:t>The alternative is a liquidity squeeze right after listing. Market cap of ~$400M remains far above the capital required, so the dilution is modest (~10%) relative to other distress names. A new-listing, 111%-growth story is as marketable as it will get before the next quarterly burn is reported. A rescue or growth investor can enter at a valuation that the raise barely dilutes.</w:t>
      </w:r>
    </w:p>
    <w:p>
      <w:pPr>
        <w:spacing w:before="200" w:after="80"/>
      </w:pPr>
      <w:r>
        <w:rPr>
          <w:color w:val="2E74B5"/>
          <w:sz w:val="26"/>
        </w:rPr>
        <w:t>Risks to the Pitch</w:t>
      </w:r>
    </w:p>
    <w:p>
      <w:r>
        <w:rPr>
          <w:i w:val="0"/>
          <w:sz w:val="22"/>
        </w:rPr>
        <w:t>Post-SPAC stocks often trade on thin float and decay after lock-up expiry, so investor appetite may be weak. Details of liabilities, existing SPAC-related obligations and any lender or sponsor consent rights were not independently verified this run (only press and search snippets). The company may prefer structured or convertible financing, or an equity line, over a marketed deal. Going-concern wording should be re-confirmed in the 10-Q before pitching.</w:t>
      </w:r>
    </w:p>
    <w:p>
      <w:pPr>
        <w:spacing w:before="200" w:after="80"/>
      </w:pPr>
      <w:r>
        <w:rPr>
          <w:color w:val="2E74B5"/>
          <w:sz w:val="26"/>
        </w:rPr>
        <w:t>Summary</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728"/>
        <w:gridCol w:w="1728"/>
        <w:gridCol w:w="1728"/>
        <w:gridCol w:w="1728"/>
        <w:gridCol w:w="1728"/>
      </w:tblGrid>
      <w:tr>
        <w:tc>
          <w:tcPr>
            <w:tcW w:type="dxa" w:w="1728"/>
            <w:shd w:val="clear" w:color="auto" w:fill="1F3864"/>
          </w:tcPr>
          <w:p>
            <w:r/>
            <w:r>
              <w:rPr>
                <w:b/>
                <w:color w:val="FFFFFF"/>
                <w:sz w:val="18"/>
              </w:rPr>
              <w:t>Ticker</w:t>
            </w:r>
          </w:p>
        </w:tc>
        <w:tc>
          <w:tcPr>
            <w:tcW w:type="dxa" w:w="1728"/>
            <w:shd w:val="clear" w:color="auto" w:fill="1F3864"/>
          </w:tcPr>
          <w:p>
            <w:r/>
            <w:r>
              <w:rPr>
                <w:b/>
                <w:color w:val="FFFFFF"/>
                <w:sz w:val="18"/>
              </w:rPr>
              <w:t>Market Cap</w:t>
            </w:r>
          </w:p>
        </w:tc>
        <w:tc>
          <w:tcPr>
            <w:tcW w:type="dxa" w:w="1728"/>
            <w:shd w:val="clear" w:color="auto" w:fill="1F3864"/>
          </w:tcPr>
          <w:p>
            <w:r/>
            <w:r>
              <w:rPr>
                <w:b/>
                <w:color w:val="FFFFFF"/>
                <w:sz w:val="18"/>
              </w:rPr>
              <w:t>Raise Size</w:t>
            </w:r>
          </w:p>
        </w:tc>
        <w:tc>
          <w:tcPr>
            <w:tcW w:type="dxa" w:w="1728"/>
            <w:shd w:val="clear" w:color="auto" w:fill="1F3864"/>
          </w:tcPr>
          <w:p>
            <w:r/>
            <w:r>
              <w:rPr>
                <w:b/>
                <w:color w:val="FFFFFF"/>
                <w:sz w:val="18"/>
              </w:rPr>
              <w:t>% of Market Cap</w:t>
            </w:r>
          </w:p>
        </w:tc>
        <w:tc>
          <w:tcPr>
            <w:tcW w:type="dxa" w:w="1728"/>
            <w:shd w:val="clear" w:color="auto" w:fill="1F3864"/>
          </w:tcPr>
          <w:p>
            <w:r/>
            <w:r>
              <w:rPr>
                <w:b/>
                <w:color w:val="FFFFFF"/>
                <w:sz w:val="18"/>
              </w:rPr>
              <w:t>Urgency</w:t>
            </w:r>
          </w:p>
        </w:tc>
      </w:tr>
      <w:tr>
        <w:tc>
          <w:tcPr>
            <w:tcW w:type="dxa" w:w="1728"/>
          </w:tcPr>
          <w:p>
            <w:r/>
            <w:r>
              <w:rPr>
                <w:sz w:val="17"/>
              </w:rPr>
              <w:t>XLAB</w:t>
            </w:r>
          </w:p>
        </w:tc>
        <w:tc>
          <w:tcPr>
            <w:tcW w:type="dxa" w:w="1728"/>
          </w:tcPr>
          <w:p>
            <w:r/>
            <w:r>
              <w:rPr>
                <w:sz w:val="17"/>
              </w:rPr>
              <w:t>$400.4M</w:t>
            </w:r>
          </w:p>
        </w:tc>
        <w:tc>
          <w:tcPr>
            <w:tcW w:type="dxa" w:w="1728"/>
          </w:tcPr>
          <w:p>
            <w:r/>
            <w:r>
              <w:rPr>
                <w:sz w:val="17"/>
              </w:rPr>
              <w:t>$40.0M</w:t>
            </w:r>
          </w:p>
        </w:tc>
        <w:tc>
          <w:tcPr>
            <w:tcW w:type="dxa" w:w="1728"/>
          </w:tcPr>
          <w:p>
            <w:r/>
            <w:r>
              <w:rPr>
                <w:sz w:val="17"/>
              </w:rPr>
              <w:t>10.0%</w:t>
            </w:r>
          </w:p>
        </w:tc>
        <w:tc>
          <w:tcPr>
            <w:tcW w:type="dxa" w:w="1728"/>
          </w:tcPr>
          <w:p>
            <w:r/>
            <w:r>
              <w:rPr>
                <w:sz w:val="17"/>
              </w:rPr>
              <w:t>High</w:t>
            </w:r>
          </w:p>
        </w:tc>
      </w:tr>
    </w:tbl>
    <w:p>
      <w:r>
        <w:rPr>
          <w:i/>
          <w:color w:val="444444"/>
          <w:sz w:val="18"/>
        </w:rPr>
        <w:t>Note: Sizing is an estimate from partially verified figures; carried over as Keep from the 2026-09-26 screen, where no one-pager had been produced.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