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FEAM — 5E Advanced Materials, Inc.</w:t>
      </w:r>
    </w:p>
    <w:p>
      <w:r>
        <w:rPr>
          <w:i/>
          <w:color w:val="444444"/>
          <w:sz w:val="22"/>
        </w:rPr>
        <w:t>Industrials / Boron and specialty minerals development</w:t>
      </w:r>
    </w:p>
    <w:p>
      <w:r>
        <w:rPr>
          <w:b/>
          <w:sz w:val="22"/>
        </w:rPr>
        <w:t xml:space="preserve">Current Market Cap:  </w:t>
      </w:r>
      <w:r>
        <w:rPr>
          <w:sz w:val="22"/>
        </w:rPr>
        <w:t>$164.0M</w:t>
      </w:r>
    </w:p>
    <w:p>
      <w:r>
        <w:rPr>
          <w:b/>
          <w:sz w:val="22"/>
        </w:rPr>
        <w:t xml:space="preserve">Proposed Raise Size:  </w:t>
      </w:r>
      <w:r>
        <w:rPr>
          <w:sz w:val="22"/>
        </w:rPr>
        <w:t>$40.0M (24.4% of market cap)</w:t>
      </w:r>
    </w:p>
    <w:p>
      <w:pPr>
        <w:spacing w:before="200" w:after="80"/>
      </w:pPr>
      <w:r>
        <w:rPr>
          <w:color w:val="2E74B5"/>
          <w:sz w:val="26"/>
        </w:rPr>
        <w:t>Thesis</w:t>
      </w:r>
    </w:p>
    <w:p>
      <w:r>
        <w:rPr>
          <w:i w:val="0"/>
          <w:sz w:val="22"/>
        </w:rPr>
        <w:t>The FY2026 10-K (fiscal year ended June 30, 2026) states substantial doubt about the company's ability to continue as a going concern; filing summaries add that even successful financing may not eliminate the doubt. The company is pre-revenue, with a reported FY2026 net loss of about $42.9M and cash reported near $19.5M at June 30, 2026 (not confirmed against the filing; summaries conflict). The last equity raise was February 2026: 18.0M shares at $2.00 for about $36M gross, eight months ago.</w:t>
      </w:r>
    </w:p>
    <w:p>
      <w:pPr>
        <w:spacing w:before="200" w:after="80"/>
      </w:pPr>
      <w:r>
        <w:rPr>
          <w:color w:val="2E74B5"/>
          <w:sz w:val="26"/>
        </w:rPr>
        <w:t>Use of Proceeds</w:t>
      </w:r>
    </w:p>
    <w:p>
      <w:r>
        <w:rPr>
          <w:i w:val="0"/>
          <w:sz w:val="22"/>
        </w:rPr>
        <w:t>Advance the small-scale boron facility, wellfield development, commercial mine plan and front-end engineering design (FEED) that the February raise was earmarked for, and provide about 12-18 months of corporate runway. $40M is our estimate; it is about 24% of market cap and below the 40% cap. It also positions the company to match a future EXIM-backed debt facility with equity.</w:t>
      </w:r>
    </w:p>
    <w:p>
      <w:pPr>
        <w:spacing w:before="200" w:after="80"/>
      </w:pPr>
      <w:r>
        <w:rPr>
          <w:color w:val="2E74B5"/>
          <w:sz w:val="26"/>
        </w:rPr>
        <w:t>Timing</w:t>
      </w:r>
    </w:p>
    <w:p>
      <w:r>
        <w:rPr>
          <w:i w:val="0"/>
          <w:sz w:val="22"/>
        </w:rPr>
        <w:t>The going-concern flag is live in the filing just issued. EXIM decisions are not dated: the September 2024 letter of interest (up to $285M) is non-binding, and a $10M Engineering Multiplier loan application was submitted in November 2025 but is not approved. A timely equity raise lets the company demonstrate funding progress while EXIM review is pending.</w:t>
      </w:r>
    </w:p>
    <w:p>
      <w:pPr>
        <w:spacing w:before="200" w:after="80"/>
      </w:pPr>
      <w:r>
        <w:rPr>
          <w:color w:val="2E74B5"/>
          <w:sz w:val="26"/>
        </w:rPr>
        <w:t>Why Raise Now</w:t>
      </w:r>
    </w:p>
    <w:p>
      <w:r>
        <w:rPr>
          <w:i w:val="0"/>
          <w:sz w:val="22"/>
        </w:rPr>
        <w:t>The alternative is funding project work only through small, dribbled-out financings while the auditor's doubt stays on the books. EXIM and other lenders typically want to see committed sponsor equity before they close, so an equity raise unlocks the cheaper debt rather than competing with it. A rescue or strategic investor in critical minerals gets exposure to a US boron source at a sub-$200M valuation.</w:t>
      </w:r>
    </w:p>
    <w:p>
      <w:pPr>
        <w:spacing w:before="200" w:after="80"/>
      </w:pPr>
      <w:r>
        <w:rPr>
          <w:color w:val="2E74B5"/>
          <w:sz w:val="26"/>
        </w:rPr>
        <w:t>Risks to the Pitch</w:t>
      </w:r>
    </w:p>
    <w:p>
      <w:r>
        <w:rPr>
          <w:i w:val="0"/>
          <w:sz w:val="22"/>
        </w:rPr>
        <w:t>Cash and burn figures come from summaries and conflict, so the true runway may be shorter or longer than we assume. EXIM financing is non-binding and could make an equity raise less urgent, or never arrive. The February raise at $2.00 anchors investors' price expectations. The 2025 reverse split (1-for-23) and prior note exchanges suggest a history of dilution and sponsor-driven financing. Pre-revenue developers have thin investor demand. Nasdaq listing status and lender consent rights were not verified.</w:t>
      </w:r>
    </w:p>
    <w:p>
      <w:pPr>
        <w:spacing w:before="200" w:after="80"/>
      </w:pPr>
      <w:r>
        <w:rPr>
          <w:color w:val="2E74B5"/>
          <w:sz w:val="26"/>
        </w:rPr>
        <w:t>Summary</w:t>
      </w:r>
    </w:p>
    <w:tbl>
      <w:tblPr>
        <w:tblW w:type="auto" w:w="0"/>
        <w:tblBorders>
          <w:top w:val="single" w:sz="4" w:color="auto"/>
          <w:left w:val="single" w:sz="4" w:color="auto"/>
          <w:bottom w:val="single" w:sz="4" w:color="auto"/>
          <w:right w:val="single" w:sz="4" w:color="auto"/>
          <w:insideH w:val="single" w:sz="4" w:color="auto"/>
          <w:insideV w:val="single" w:sz="4" w:color="auto"/>
        </w:tblBorders>
        <w:tblLook w:firstColumn="1" w:firstRow="1" w:lastColumn="0" w:lastRow="0" w:noHBand="0" w:noVBand="1" w:val="04A0"/>
      </w:tblPr>
      <w:tblGrid>
        <w:gridCol w:w="1728"/>
        <w:gridCol w:w="1728"/>
        <w:gridCol w:w="1728"/>
        <w:gridCol w:w="1728"/>
        <w:gridCol w:w="1728"/>
      </w:tblGrid>
      <w:tr>
        <w:tc>
          <w:tcPr>
            <w:tcW w:type="dxa" w:w="1728"/>
            <w:shd w:val="clear" w:color="auto" w:fill="1F3864"/>
          </w:tcPr>
          <w:p>
            <w:r/>
            <w:r>
              <w:rPr>
                <w:b/>
                <w:color w:val="FFFFFF"/>
                <w:sz w:val="18"/>
              </w:rPr>
              <w:t>Ticker</w:t>
            </w:r>
          </w:p>
        </w:tc>
        <w:tc>
          <w:tcPr>
            <w:tcW w:type="dxa" w:w="1728"/>
            <w:shd w:val="clear" w:color="auto" w:fill="1F3864"/>
          </w:tcPr>
          <w:p>
            <w:r/>
            <w:r>
              <w:rPr>
                <w:b/>
                <w:color w:val="FFFFFF"/>
                <w:sz w:val="18"/>
              </w:rPr>
              <w:t>Market Cap</w:t>
            </w:r>
          </w:p>
        </w:tc>
        <w:tc>
          <w:tcPr>
            <w:tcW w:type="dxa" w:w="1728"/>
            <w:shd w:val="clear" w:color="auto" w:fill="1F3864"/>
          </w:tcPr>
          <w:p>
            <w:r/>
            <w:r>
              <w:rPr>
                <w:b/>
                <w:color w:val="FFFFFF"/>
                <w:sz w:val="18"/>
              </w:rPr>
              <w:t>Raise Size</w:t>
            </w:r>
          </w:p>
        </w:tc>
        <w:tc>
          <w:tcPr>
            <w:tcW w:type="dxa" w:w="1728"/>
            <w:shd w:val="clear" w:color="auto" w:fill="1F3864"/>
          </w:tcPr>
          <w:p>
            <w:r/>
            <w:r>
              <w:rPr>
                <w:b/>
                <w:color w:val="FFFFFF"/>
                <w:sz w:val="18"/>
              </w:rPr>
              <w:t>% of Market Cap</w:t>
            </w:r>
          </w:p>
        </w:tc>
        <w:tc>
          <w:tcPr>
            <w:tcW w:type="dxa" w:w="1728"/>
            <w:shd w:val="clear" w:color="auto" w:fill="1F3864"/>
          </w:tcPr>
          <w:p>
            <w:r/>
            <w:r>
              <w:rPr>
                <w:b/>
                <w:color w:val="FFFFFF"/>
                <w:sz w:val="18"/>
              </w:rPr>
              <w:t>Urgency</w:t>
            </w:r>
          </w:p>
        </w:tc>
      </w:tr>
      <w:tr>
        <w:tc>
          <w:tcPr>
            <w:tcW w:type="dxa" w:w="1728"/>
          </w:tcPr>
          <w:p>
            <w:r/>
            <w:r>
              <w:rPr>
                <w:sz w:val="17"/>
              </w:rPr>
              <w:t>FEAM</w:t>
            </w:r>
          </w:p>
        </w:tc>
        <w:tc>
          <w:tcPr>
            <w:tcW w:type="dxa" w:w="1728"/>
          </w:tcPr>
          <w:p>
            <w:r/>
            <w:r>
              <w:rPr>
                <w:sz w:val="17"/>
              </w:rPr>
              <w:t>$164.0M</w:t>
            </w:r>
          </w:p>
        </w:tc>
        <w:tc>
          <w:tcPr>
            <w:tcW w:type="dxa" w:w="1728"/>
          </w:tcPr>
          <w:p>
            <w:r/>
            <w:r>
              <w:rPr>
                <w:sz w:val="17"/>
              </w:rPr>
              <w:t>$40.0M</w:t>
            </w:r>
          </w:p>
        </w:tc>
        <w:tc>
          <w:tcPr>
            <w:tcW w:type="dxa" w:w="1728"/>
          </w:tcPr>
          <w:p>
            <w:r/>
            <w:r>
              <w:rPr>
                <w:sz w:val="17"/>
              </w:rPr>
              <w:t>24.4%</w:t>
            </w:r>
          </w:p>
        </w:tc>
        <w:tc>
          <w:tcPr>
            <w:tcW w:type="dxa" w:w="1728"/>
          </w:tcPr>
          <w:p>
            <w:r/>
            <w:r>
              <w:rPr>
                <w:sz w:val="17"/>
              </w:rPr>
              <w:t>Medium-High</w:t>
            </w:r>
          </w:p>
        </w:tc>
      </w:tr>
    </w:tbl>
    <w:p>
      <w:r>
        <w:rPr>
          <w:i/>
          <w:color w:val="444444"/>
          <w:sz w:val="18"/>
        </w:rPr>
        <w:t>Note: Going-concern language is from the FY2026 10-K as reported in summaries; cash, burn and EXIM status should be confirmed against the filing.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