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ATLX — Atlas Lithium Corporation</w:t>
      </w:r>
    </w:p>
    <w:p>
      <w:r>
        <w:rPr>
          <w:i/>
          <w:color w:val="444444"/>
          <w:sz w:val="22"/>
        </w:rPr>
        <w:t>Industrials / Mining &amp; Quarrying of Nonmetallic Minerals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$100.2M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$38.0M (37.9%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Going-concern language is explicit in Atlas Lithium's recent filings. The company is pre-revenue (zero revenue in Q2 2026) and burning approximately $14-16M per quarter (an $18.2M operating cash outflow in H1 2026) against $36.1M of cash. Compounding the liquidity picture, approximately $10.2M of convertible notes mature in November 2026 and are currently out-of-the-money, meaning they will likely require a cash settlement rather than converting to equity.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Retire or refinance the roughly $10.2M of convertible notes maturing November 2026, and fund approximately two additional quarters of operating burn (~$28M) to carry the company through its next lithium-project development milestone.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 convertible note maturity in November 2026 is roughly two months away and is a hard, dated liability. The going-concern disclosure itself signals that the company's own auditors view the current cash position as insufficient without additional financing inside the next twelve months.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With zero revenue and a near-term debt maturity that likely requires cash (not equity) settlement, waiting risks a much more distressed, forced financing later -- potentially at a lower price and with less negotiating leverage. A rescue-oriented or strategic lithium-sector investor may still find the entry attractive given Atlas Lithium's project pipeline, even though existing shareholders face significant dilution.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Pre-revenue mining developers are a hard sell to equity investors generally, and the going-concern flag itself may deter participation without a structured deal (e.g., a strategic or streaming investor rather than a pure equity raise). The company has already tapped equity markets this year via an ~$11.3M ATM and a ~$9.6M subsidiary public offering, so investor fatigue is a real risk, and lithium-sector sentiment has been weak, which could further pressure achievable pricing.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ATLX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$100.2M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$38.0M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37.9%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