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BYND — Beyond Meat Inc.</w:t>
      </w:r>
    </w:p>
    <w:p>
      <w:r>
        <w:rPr>
          <w:i/>
          <w:color w:val="444444"/>
          <w:sz w:val="22"/>
        </w:rPr>
        <w:t>Consumer Staples / Packaged Foods</w:t>
      </w:r>
    </w:p>
    <w:p>
      <w:r>
        <w:rPr>
          <w:b/>
          <w:sz w:val="22"/>
        </w:rPr>
        <w:t xml:space="preserve">Current Market Cap:  </w:t>
      </w:r>
      <w:r>
        <w:rPr>
          <w:sz w:val="22"/>
        </w:rPr>
        <w:t>$202.7M</w:t>
      </w:r>
    </w:p>
    <w:p>
      <w:r>
        <w:rPr>
          <w:b/>
          <w:sz w:val="22"/>
        </w:rPr>
        <w:t xml:space="preserve">Proposed Raise Size:  </w:t>
      </w:r>
      <w:r>
        <w:rPr>
          <w:sz w:val="22"/>
        </w:rPr>
        <w:t>$75.0M (37.0% of market cap)</w:t>
      </w:r>
    </w:p>
    <w:p>
      <w:pPr>
        <w:spacing w:before="200" w:after="80"/>
      </w:pPr>
      <w:r>
        <w:rPr>
          <w:color w:val="2E74B5"/>
          <w:sz w:val="26"/>
        </w:rPr>
        <w:t>Thesis</w:t>
      </w:r>
    </w:p>
    <w:p>
      <w:r>
        <w:rPr>
          <w:i w:val="0"/>
          <w:sz w:val="22"/>
        </w:rPr>
        <w:t>Beyond Meat's debt capacity is effectively exhausted. Following an October 2025 exchange that swapped $1.15B of debt into new second-lien 7% convertible notes due 2030, the remaining PIK (payment-in-kind) structure compounds over time, and management's own 12-18 month runway framing from that October 2025 financing is now roughly 11 months in. The stock is down 84% over the trailing year, and the company already had to complete a 1-for-30 reverse split (August 2026) to cure a Nasdaq minimum-bid-price deficiency notice.</w:t>
      </w:r>
    </w:p>
    <w:p>
      <w:pPr>
        <w:spacing w:before="200" w:after="80"/>
      </w:pPr>
      <w:r>
        <w:rPr>
          <w:color w:val="2E74B5"/>
          <w:sz w:val="26"/>
        </w:rPr>
        <w:t>Use of Proceeds</w:t>
      </w:r>
    </w:p>
    <w:p>
      <w:r>
        <w:rPr>
          <w:i w:val="0"/>
          <w:sz w:val="22"/>
        </w:rPr>
        <w:t>Pay down or refinance a portion of the compounding second-lien PIK notes to slow the growth of the debt balance, and extend the operating cash runway by approximately 12 months beyond what remains from the October 2025 financing.</w:t>
      </w:r>
    </w:p>
    <w:p>
      <w:pPr>
        <w:spacing w:before="200" w:after="80"/>
      </w:pPr>
      <w:r>
        <w:rPr>
          <w:color w:val="2E74B5"/>
          <w:sz w:val="26"/>
        </w:rPr>
        <w:t>Timing</w:t>
      </w:r>
    </w:p>
    <w:p>
      <w:r>
        <w:rPr>
          <w:i w:val="0"/>
          <w:sz w:val="22"/>
        </w:rPr>
        <w:t>The runway from the October 2025 refinancing (originally framed as 12-18 months) is now materially consumed. The compounding nature of the PIK notes means the true liability grows every quarter capital isn't raised, making this a "sooner is better" situation rather than one pinned to a single external date.</w:t>
      </w:r>
    </w:p>
    <w:p>
      <w:pPr>
        <w:spacing w:before="200" w:after="80"/>
      </w:pPr>
      <w:r>
        <w:rPr>
          <w:color w:val="2E74B5"/>
          <w:sz w:val="26"/>
        </w:rPr>
        <w:t>Why Raise Now</w:t>
      </w:r>
    </w:p>
    <w:p>
      <w:r>
        <w:rPr>
          <w:i w:val="0"/>
          <w:sz w:val="22"/>
        </w:rPr>
        <w:t>The alternative -- letting the PIK notes continue to compound while cash dwindles -- risks a forced restructuring or bankruptcy process that would destroy far more shareholder value than a dilutive raise today. A rescue-oriented investor may still find the entry price attractive given Beyond Meat's brand recognition and distribution relationships, even though existing holders face heavy dilution after an 84% stock decline.</w:t>
      </w:r>
    </w:p>
    <w:p>
      <w:pPr>
        <w:spacing w:before="200" w:after="80"/>
      </w:pPr>
      <w:r>
        <w:rPr>
          <w:color w:val="2E74B5"/>
          <w:sz w:val="26"/>
        </w:rPr>
        <w:t>Risks to the Pitch</w:t>
      </w:r>
    </w:p>
    <w:p>
      <w:r>
        <w:rPr>
          <w:i w:val="0"/>
          <w:sz w:val="22"/>
        </w:rPr>
        <w:t>Investor appetite for a company that has already undergone one major debt restructuring (Oct 2025) and a reverse split (Aug 2026) may be limited without a structured/rescue deal. Existing convertible noteholders may have consent rights or structural priority that complicate a new equity raise. The underlying turnaround in burn rate (Q1 2026 operating burn improved to $5.0M from $26.1M) could continue on its own and reduce the case for further dilution if sustained.</w:t>
      </w:r>
    </w:p>
    <w:p>
      <w:pPr>
        <w:spacing w:before="200" w:after="80"/>
      </w:pPr>
      <w:r>
        <w:rPr>
          <w:color w:val="2E74B5"/>
          <w:sz w:val="26"/>
        </w:rPr>
        <w:t>Summary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BYND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$202.7M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$75.0M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37.0%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