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IVVD — Invivyd Inc.</w:t>
      </w:r>
    </w:p>
    <w:p>
      <w:r>
        <w:rPr>
          <w:i/>
          <w:color w:val="444444"/>
          <w:sz w:val="22"/>
        </w:rPr>
        <w:t>Health Care / Biotechnology: Biological Products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$243.5M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$97.4M (40.0%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Going-concern language is explicitly present in Invivyd's Q1 2026 10-Q. Cash has fallen to $160M (from $227M at year-end 2025) against roughly $85M of quarterly burn -- under two quarters of runway at the current rate. The company also carries a live Nasdaq minimum-bid-price deficiency notice (issued July 23, 2026) with a cure deadline of January 19, 2027. This is a verified, urgent-need situation, not a scoring artifact.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operations through the VYD2311 Phase 3 DECLARATION trial data readout (expected late Q3 2026) and the subsequent BLA filing process -- a specific, near-term bridge rather than a broader growth initiative.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Two hard dates converge: the DECLARATION Phase 3 data readout expected late Q3 2026 (imminent), and the Nasdaq compliance cure deadline of January 19, 2027 (with a possible secondary 180-day period if the company transfers to the Nasdaq Capital Market). Cash at the current burn rate does not comfortably cover the gap to either date.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to raising now is running out of cash before pivotal Phase 3 data reads out or before the Nasdaq compliance deadline resolves -- either of which would be far more value-destructive than dilution today. A rescue-oriented investor may still find the entry attractive given the imminent binary Phase 3 catalyst, which could re-rate the stock if positive.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Sizing note: the 40% of market cap ceiling used here ($97.4M) is a cap, not the researched need -- true bridge costs (multiple quarters of runway plus BLA-filing expense) are likely well above this figure, so this raise should be read as a partial bridge, not a full solution. Investor appetite for a name already carrying going-concern language and delisting risk may be thin without a structured/rescue-type deal, and a disappointing Phase 3 readout would make any further capital raise dramatically harder.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$97.4M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40.0%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r>
        <w:rPr>
          <w:i/>
          <w:color w:val="444444"/>
          <w:sz w:val="18"/>
        </w:rPr>
        <w:t>Note: Researched need exceeds the 40% sizing cap; sized at the cap ($97.4M) rather than the full estimated bridge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