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NAUT — Nautilus Biotechnology Inc.</w:t>
      </w:r>
    </w:p>
    <w:p>
      <w:r>
        <w:rPr>
          <w:i/>
          <w:color w:val="444444"/>
          <w:sz w:val="22"/>
        </w:rPr>
        <w:t>Industrials / Biotechnology: Laboratory Analytical Instruments</w:t>
      </w:r>
    </w:p>
    <w:p>
      <w:r>
        <w:rPr>
          <w:b/>
          <w:sz w:val="22"/>
        </w:rPr>
        <w:t xml:space="preserve">Current Market Cap:  </w:t>
      </w:r>
      <w:r>
        <w:rPr>
          <w:sz w:val="22"/>
        </w:rPr>
        <w:t>$115.2M</w:t>
      </w:r>
    </w:p>
    <w:p>
      <w:r>
        <w:rPr>
          <w:b/>
          <w:sz w:val="22"/>
        </w:rPr>
        <w:t xml:space="preserve">Proposed Raise Size:  </w:t>
      </w:r>
      <w:r>
        <w:rPr>
          <w:sz w:val="22"/>
        </w:rPr>
        <w:t>$23.0M (20.0% of market cap)</w:t>
      </w:r>
    </w:p>
    <w:p>
      <w:pPr>
        <w:spacing w:before="200" w:after="80"/>
      </w:pPr>
      <w:r>
        <w:rPr>
          <w:color w:val="2E74B5"/>
          <w:sz w:val="26"/>
        </w:rPr>
        <w:t>Thesis</w:t>
      </w:r>
    </w:p>
    <w:p>
      <w:r>
        <w:rPr>
          <w:i w:val="0"/>
          <w:sz w:val="22"/>
        </w:rPr>
        <w:t>Pre-commercial proteomics instrumentation company nearing its first commercial launch. Combined cash and investments of roughly $213M (as of June 30, 2026) against a Q1 2026 quarterly burn of $12.8M provide meaningful but finite runway heading into a first-revenue year. The company carries no debt, has not filed a primary equity offering in the past 15 months, and no recent Form D/PIPE was found, despite the stock being up 36.9% over the trailing year.</w:t>
      </w:r>
    </w:p>
    <w:p>
      <w:pPr>
        <w:spacing w:before="200" w:after="80"/>
      </w:pPr>
      <w:r>
        <w:rPr>
          <w:color w:val="2E74B5"/>
          <w:sz w:val="26"/>
        </w:rPr>
        <w:t>Use of Proceeds</w:t>
      </w:r>
    </w:p>
    <w:p>
      <w:r>
        <w:rPr>
          <w:i w:val="0"/>
          <w:sz w:val="22"/>
        </w:rPr>
        <w:t>Fund inventory build, field-service infrastructure, and commercial sales-force ramp ahead of the Voyager platform's commercial launch (targeted late 2026) and initial customer placements (early 2027); support continued development work for the Early Access Program's first oncology proteoform (AKT1), with data expected late 2026.</w:t>
      </w:r>
    </w:p>
    <w:p>
      <w:pPr>
        <w:spacing w:before="200" w:after="80"/>
      </w:pPr>
      <w:r>
        <w:rPr>
          <w:color w:val="2E74B5"/>
          <w:sz w:val="26"/>
        </w:rPr>
        <w:t>Timing</w:t>
      </w:r>
    </w:p>
    <w:p>
      <w:r>
        <w:rPr>
          <w:i w:val="0"/>
          <w:sz w:val="22"/>
        </w:rPr>
        <w:t>The Voyager platform's commercial launch is targeted for late 2026, with initial paid placements expected in early 2027 -- the internal clock argues for capital in hand before commercial-ramp spending on inventory, service infrastructure, and sales headcount accelerates.</w:t>
      </w:r>
    </w:p>
    <w:p>
      <w:pPr>
        <w:spacing w:before="200" w:after="80"/>
      </w:pPr>
      <w:r>
        <w:rPr>
          <w:color w:val="2E74B5"/>
          <w:sz w:val="26"/>
        </w:rPr>
        <w:t>Why Raise Now</w:t>
      </w:r>
    </w:p>
    <w:p>
      <w:r>
        <w:rPr>
          <w:i w:val="0"/>
          <w:sz w:val="22"/>
        </w:rPr>
        <w:t>The stock is up 36.9% over the trailing year and the company is debt-free, meaning a raise priced off current strength would be materially less dilutive than one done earlier. Commercial launch proof points (first placements, first proteoform data) are still ahead, so pricing is likely more favorable now than after early launch execution risk becomes visible to the market.</w:t>
      </w:r>
    </w:p>
    <w:p>
      <w:pPr>
        <w:spacing w:before="200" w:after="80"/>
      </w:pPr>
      <w:r>
        <w:rPr>
          <w:color w:val="2E74B5"/>
          <w:sz w:val="26"/>
        </w:rPr>
        <w:t>Risks to the Pitch</w:t>
      </w:r>
    </w:p>
    <w:p>
      <w:r>
        <w:rPr>
          <w:i w:val="0"/>
          <w:sz w:val="22"/>
        </w:rPr>
        <w:t>The company has not signaled any near-term intent to raise -- there has been no shelf or offering activity since the 2021 SPAC-era financing. Commercial launch timing could slip, and investors may prefer to wait for initial placement data before subscribing to a further raise. As a pre-revenue name, it will also compete for capital against a large universe of similarly-staged biotech/instrumentation companies.</w:t>
      </w:r>
    </w:p>
    <w:p>
      <w:pPr>
        <w:spacing w:before="200" w:after="80"/>
      </w:pPr>
      <w:r>
        <w:rPr>
          <w:color w:val="2E74B5"/>
          <w:sz w:val="26"/>
        </w:rPr>
        <w:t>Summary</w:t>
      </w:r>
    </w:p>
    <w:tbl>
      <w:tblPr>
        <w:tblW w:type="auto" w:w="0"/>
        <w:tblBorders>
          <w:top w:val="single" w:sz="4" w:color="auto"/>
          <w:left w:val="single" w:sz="4" w:color="auto"/>
          <w:bottom w:val="single" w:sz="4" w:color="auto"/>
          <w:right w:val="single" w:sz="4" w:color="auto"/>
          <w:insideH w:val="single" w:sz="4" w:color="auto"/>
          <w:insideV w:val="single" w:sz="4" w:color="auto"/>
        </w:tblBorders>
        <w:tblLook w:firstColumn="1" w:firstRow="1" w:lastColumn="0" w:lastRow="0" w:noHBand="0" w:noVBand="1" w:val="04A0"/>
      </w:tblPr>
      <w:tblGrid>
        <w:gridCol w:w="1728"/>
        <w:gridCol w:w="1728"/>
        <w:gridCol w:w="1728"/>
        <w:gridCol w:w="1728"/>
        <w:gridCol w:w="1728"/>
      </w:tblGrid>
      <w:tr>
        <w:tc>
          <w:tcPr>
            <w:tcW w:type="dxa" w:w="1728"/>
            <w:shd w:val="clear" w:color="auto" w:fill="1F3864"/>
          </w:tcPr>
          <w:p>
            <w:r/>
            <w:r>
              <w:rPr>
                <w:b/>
                <w:color w:val="FFFFFF"/>
                <w:sz w:val="18"/>
              </w:rPr>
              <w:t>Ticker</w:t>
            </w:r>
          </w:p>
        </w:tc>
        <w:tc>
          <w:tcPr>
            <w:tcW w:type="dxa" w:w="1728"/>
            <w:shd w:val="clear" w:color="auto" w:fill="1F3864"/>
          </w:tcPr>
          <w:p>
            <w:r/>
            <w:r>
              <w:rPr>
                <w:b/>
                <w:color w:val="FFFFFF"/>
                <w:sz w:val="18"/>
              </w:rPr>
              <w:t>Market Cap</w:t>
            </w:r>
          </w:p>
        </w:tc>
        <w:tc>
          <w:tcPr>
            <w:tcW w:type="dxa" w:w="1728"/>
            <w:shd w:val="clear" w:color="auto" w:fill="1F3864"/>
          </w:tcPr>
          <w:p>
            <w:r/>
            <w:r>
              <w:rPr>
                <w:b/>
                <w:color w:val="FFFFFF"/>
                <w:sz w:val="18"/>
              </w:rPr>
              <w:t>Raise Size</w:t>
            </w:r>
          </w:p>
        </w:tc>
        <w:tc>
          <w:tcPr>
            <w:tcW w:type="dxa" w:w="1728"/>
            <w:shd w:val="clear" w:color="auto" w:fill="1F3864"/>
          </w:tcPr>
          <w:p>
            <w:r/>
            <w:r>
              <w:rPr>
                <w:b/>
                <w:color w:val="FFFFFF"/>
                <w:sz w:val="18"/>
              </w:rPr>
              <w:t>% of Market Cap</w:t>
            </w:r>
          </w:p>
        </w:tc>
        <w:tc>
          <w:tcPr>
            <w:tcW w:type="dxa" w:w="1728"/>
            <w:shd w:val="clear" w:color="auto" w:fill="1F3864"/>
          </w:tcPr>
          <w:p>
            <w:r/>
            <w:r>
              <w:rPr>
                <w:b/>
                <w:color w:val="FFFFFF"/>
                <w:sz w:val="18"/>
              </w:rPr>
              <w:t>Urgency</w:t>
            </w:r>
          </w:p>
        </w:tc>
      </w:tr>
      <w:tr>
        <w:tc>
          <w:tcPr>
            <w:tcW w:type="dxa" w:w="1728"/>
          </w:tcPr>
          <w:p>
            <w:r/>
            <w:r>
              <w:rPr>
                <w:sz w:val="17"/>
              </w:rPr>
              <w:t>NAUT</w:t>
            </w:r>
          </w:p>
        </w:tc>
        <w:tc>
          <w:tcPr>
            <w:tcW w:type="dxa" w:w="1728"/>
          </w:tcPr>
          <w:p>
            <w:r/>
            <w:r>
              <w:rPr>
                <w:sz w:val="17"/>
              </w:rPr>
              <w:t>$115.2M</w:t>
            </w:r>
          </w:p>
        </w:tc>
        <w:tc>
          <w:tcPr>
            <w:tcW w:type="dxa" w:w="1728"/>
          </w:tcPr>
          <w:p>
            <w:r/>
            <w:r>
              <w:rPr>
                <w:sz w:val="17"/>
              </w:rPr>
              <w:t>$23.0M</w:t>
            </w:r>
          </w:p>
        </w:tc>
        <w:tc>
          <w:tcPr>
            <w:tcW w:type="dxa" w:w="1728"/>
          </w:tcPr>
          <w:p>
            <w:r/>
            <w:r>
              <w:rPr>
                <w:sz w:val="17"/>
              </w:rPr>
              <w:t>20.0%</w:t>
            </w:r>
          </w:p>
        </w:tc>
        <w:tc>
          <w:tcPr>
            <w:tcW w:type="dxa" w:w="1728"/>
          </w:tcPr>
          <w:p>
            <w:r/>
            <w:r>
              <w:rPr>
                <w:sz w:val="17"/>
              </w:rP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