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RARE — Ultragenyx Pharmaceutical Inc.</w:t>
      </w:r>
    </w:p>
    <w:p>
      <w:r>
        <w:rPr>
          <w:i/>
          <w:color w:val="444444"/>
          <w:sz w:val="22"/>
        </w:rPr>
        <w:t>Health Care / Biotechnology: Pharmaceutical Preparations</w:t>
      </w:r>
    </w:p>
    <w:p>
      <w:r>
        <w:rPr>
          <w:b/>
          <w:sz w:val="22"/>
        </w:rPr>
        <w:t xml:space="preserve">Current Market Cap:  </w:t>
      </w:r>
      <w:r>
        <w:rPr>
          <w:sz w:val="22"/>
        </w:rPr>
        <w:t>$1.51B</w:t>
      </w:r>
    </w:p>
    <w:p>
      <w:r>
        <w:rPr>
          <w:b/>
          <w:sz w:val="22"/>
        </w:rPr>
        <w:t xml:space="preserve">Proposed Raise Size:  </w:t>
      </w:r>
      <w:r>
        <w:rPr>
          <w:sz w:val="22"/>
        </w:rPr>
        <w:t>$350.0M (23.2% of market cap)</w:t>
      </w:r>
    </w:p>
    <w:p>
      <w:pPr>
        <w:spacing w:before="200" w:after="80"/>
      </w:pPr>
      <w:r>
        <w:rPr>
          <w:color w:val="2E74B5"/>
          <w:sz w:val="26"/>
        </w:rPr>
        <w:t>Thesis</w:t>
      </w:r>
    </w:p>
    <w:p>
      <w:r>
        <w:rPr>
          <w:i w:val="0"/>
          <w:sz w:val="22"/>
        </w:rPr>
        <w:t>Commercial-stage rare-disease biotech burning roughly $388M on an annualized basis (Q2 2026 run-rate) against $436M of cash as of Q2 2026 -- a tight runway of roughly 12-13 months by management's own framing. The company has already monetized a large slice of future economics via $1.2B of royalty liabilities (Royalty Pharma/OMERS) with a payment holiday through January 2028, meaning further non-dilutive financing capacity is now more limited than it was.</w:t>
      </w:r>
    </w:p>
    <w:p>
      <w:pPr>
        <w:spacing w:before="200" w:after="80"/>
      </w:pPr>
      <w:r>
        <w:rPr>
          <w:color w:val="2E74B5"/>
          <w:sz w:val="26"/>
        </w:rPr>
        <w:t>Use of Proceeds</w:t>
      </w:r>
    </w:p>
    <w:p>
      <w:r>
        <w:rPr>
          <w:i w:val="0"/>
          <w:sz w:val="22"/>
        </w:rPr>
        <w:t>Fund continued commercial launch investment and R&amp;D through two binary regulatory catalysts in 2026 -- the DTX401 and UX111 PDUFA decisions -- and the Angelman syndrome Phase 3 data readout, while preserving flexibility to fund launch of any newly-approved products without further royalty monetization.</w:t>
      </w:r>
    </w:p>
    <w:p>
      <w:pPr>
        <w:spacing w:before="200" w:after="80"/>
      </w:pPr>
      <w:r>
        <w:rPr>
          <w:color w:val="2E74B5"/>
          <w:sz w:val="26"/>
        </w:rPr>
        <w:t>Timing</w:t>
      </w:r>
    </w:p>
    <w:p>
      <w:r>
        <w:rPr>
          <w:i w:val="0"/>
          <w:sz w:val="22"/>
        </w:rPr>
        <w:t>DTX401 and UX111 PDUFA decisions are expected in 2026, alongside the Angelman syndrome Phase 3 data readout -- all dated, binary events that fall inside the current cash runway.</w:t>
      </w:r>
    </w:p>
    <w:p>
      <w:pPr>
        <w:spacing w:before="200" w:after="80"/>
      </w:pPr>
      <w:r>
        <w:rPr>
          <w:color w:val="2E74B5"/>
          <w:sz w:val="26"/>
        </w:rPr>
        <w:t>Why Raise Now</w:t>
      </w:r>
    </w:p>
    <w:p>
      <w:r>
        <w:rPr>
          <w:i w:val="0"/>
          <w:sz w:val="22"/>
        </w:rPr>
        <w:t>With roughly 12-13 months of runway and multiple PDUFA/data readouts landing this year, waiting risks having to raise reactively after an adverse outcome at a worse price. The company has already used its most attractive non-dilutive lever (royalty monetization), making equity the more likely source for the next round of capital regardless of timing -- pricing into current strength ahead of the readouts is preferable to a forced raise after a disappointment.</w:t>
      </w:r>
    </w:p>
    <w:p>
      <w:pPr>
        <w:spacing w:before="200" w:after="80"/>
      </w:pPr>
      <w:r>
        <w:rPr>
          <w:color w:val="2E74B5"/>
          <w:sz w:val="26"/>
        </w:rPr>
        <w:t>Risks to the Pitch</w:t>
      </w:r>
    </w:p>
    <w:p>
      <w:r>
        <w:rPr>
          <w:i w:val="0"/>
          <w:sz w:val="22"/>
        </w:rPr>
        <w:t>Management has publicly framed the runway as adequate for about 12 months, so there is no acute, disclosed emergency to point to. The company could instead pursue an additional royalty or other non-dilutive deal, as rare-disease royalty buyers remain active. Multiple binary readouts inside the same raise window cut both ways -- a negative outcome ahead of pricing would sharply worsen terms.</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RARE</w:t>
            </w:r>
          </w:p>
        </w:tc>
        <w:tc>
          <w:tcPr>
            <w:tcW w:type="dxa" w:w="1728"/>
          </w:tcPr>
          <w:p>
            <w:r/>
            <w:r>
              <w:rPr>
                <w:sz w:val="17"/>
              </w:rPr>
              <w:t>$1.51B</w:t>
            </w:r>
          </w:p>
        </w:tc>
        <w:tc>
          <w:tcPr>
            <w:tcW w:type="dxa" w:w="1728"/>
          </w:tcPr>
          <w:p>
            <w:r/>
            <w:r>
              <w:rPr>
                <w:sz w:val="17"/>
              </w:rPr>
              <w:t>$350.0M</w:t>
            </w:r>
          </w:p>
        </w:tc>
        <w:tc>
          <w:tcPr>
            <w:tcW w:type="dxa" w:w="1728"/>
          </w:tcPr>
          <w:p>
            <w:r/>
            <w:r>
              <w:rPr>
                <w:sz w:val="17"/>
              </w:rPr>
              <w:t>23.2%</w:t>
            </w:r>
          </w:p>
        </w:tc>
        <w:tc>
          <w:tcPr>
            <w:tcW w:type="dxa" w:w="1728"/>
          </w:tcPr>
          <w:p>
            <w:r/>
            <w:r>
              <w:rPr>
                <w:sz w:val="17"/>
              </w:rPr>
              <w:t>Medium-High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