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 — Innventure Inc.</w:t>
      </w:r>
    </w:p>
    <w:p>
      <w:r>
        <w:rPr>
          <w:i/>
          <w:sz w:val="22"/>
        </w:rPr>
        <w:t>Finance / Blank Checks</w:t>
      </w:r>
    </w:p>
    <w:p>
      <w:r>
        <w:rPr>
          <w:b/>
          <w:sz w:val="22"/>
        </w:rPr>
        <w:t xml:space="preserve">Current Market Cap:   </w:t>
      </w:r>
      <w:r>
        <w:rPr>
          <w:sz w:val="22"/>
        </w:rPr>
        <w:t>$106.6M</w:t>
      </w:r>
    </w:p>
    <w:p>
      <w:r>
        <w:rPr>
          <w:b/>
          <w:sz w:val="22"/>
        </w:rPr>
        <w:t xml:space="preserve">Proposed Raise Size:   </w:t>
      </w:r>
      <w:r>
        <w:rPr>
          <w:sz w:val="22"/>
        </w:rPr>
        <w:t>$35.0M (32.8% of market cap)</w:t>
      </w:r>
    </w:p>
    <w:p>
      <w:pPr>
        <w:pStyle w:val="Heading2"/>
      </w:pPr>
      <w:r>
        <w:t>Thesis</w:t>
      </w:r>
    </w:p>
    <w:p>
      <w:r>
        <w:rPr>
          <w:sz w:val="22"/>
        </w:rPr>
        <w:t>Innventure disclosed substantial doubt about its ability to continue as a going concern in its Q2 2026 10-Q, reporting a $34.9M net loss for the quarter ($62.7M for H1 2026) against just $41.5M of cash ($5M restricted). Operating cash burn ran roughly $10M/month through H1 2026, though management states it has since cut the quarterly expense run-rate to $4.5M. Two convertible debt instruments come due before year-end: $5M of Convertible Debentures (Sept 15, 2026) and $7.75M of Term Convertible Notes issued by subsidiary Accelsius (Dec 31, 2026). No equity has been raised in 2026, and no primary offering has priced in the trailing 15 months.</w:t>
      </w:r>
    </w:p>
    <w:p>
      <w:pPr>
        <w:pStyle w:val="Heading2"/>
      </w:pPr>
      <w:r>
        <w:t>Use of Proceeds</w:t>
      </w:r>
    </w:p>
    <w:p>
      <w:r>
        <w:rPr>
          <w:sz w:val="22"/>
        </w:rPr>
        <w:t>Repay or refinance the roughly $12.75M of near-term convertible obligations (the Sept and Dec 2026 maturities) and fund approximately a year of operations at the reduced expense run-rate, extending runway past the company's next scheduled portfolio-company monetization events (Accelsius, AeroFlexx, Envases).</w:t>
      </w:r>
    </w:p>
    <w:p>
      <w:pPr>
        <w:pStyle w:val="Heading2"/>
      </w:pPr>
      <w:r>
        <w:t>Timing</w:t>
      </w:r>
    </w:p>
    <w:p>
      <w:r>
        <w:rPr>
          <w:sz w:val="22"/>
        </w:rPr>
        <w:t>Both near-term maturities -- the $5M Convertible Debentures (Sept 15, 2026) and the $7.75M Term Convertible Notes (Dec 31, 2026) -- fall within the next four months. The going-concern disclosure itself creates an explicit clock for management to show a credible financing plan before the next annual filing.</w:t>
      </w:r>
    </w:p>
    <w:p>
      <w:pPr>
        <w:pStyle w:val="Heading2"/>
      </w:pPr>
      <w:r>
        <w:t>Why Raise Now</w:t>
      </w:r>
    </w:p>
    <w:p>
      <w:r>
        <w:rPr>
          <w:sz w:val="22"/>
        </w:rPr>
        <w:t>The alternative to raising equity now is a cash shortfall arriving at nearly the same time as two debt maturities, forcing either a distressed conversion of the Term Convertible Notes, a rushed sale of a portfolio-company stake, or default -- all worse outcomes for existing holders than dilution priced ahead of the deadline.</w:t>
      </w:r>
    </w:p>
    <w:p>
      <w:pPr>
        <w:pStyle w:val="Heading2"/>
      </w:pPr>
      <w:r>
        <w:t>Risks to the Pitch</w:t>
      </w:r>
    </w:p>
    <w:p>
      <w:r>
        <w:rPr>
          <w:sz w:val="22"/>
        </w:rPr>
        <w:t>Innventure's holding-company structure (an operating company holding stakes in spinout portfolio companies such as Accelsius, AeroFlexx, and Envases) is unconventional to underwrite, and the going-concern disclosure itself may deter investors who would rather wait for a specific portfolio-company monetization event before committing new capital.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Ticker</w:t>
            </w:r>
          </w:p>
        </w:tc>
        <w:tc>
          <w:tcPr>
            <w:tcW w:type="dxa" w:w="1728"/>
          </w:tcPr>
          <w:p>
            <w:r>
              <w:t>Market Cap</w:t>
            </w:r>
          </w:p>
        </w:tc>
        <w:tc>
          <w:tcPr>
            <w:tcW w:type="dxa" w:w="1728"/>
          </w:tcPr>
          <w:p>
            <w:r>
              <w:t>Raise Size</w:t>
            </w:r>
          </w:p>
        </w:tc>
        <w:tc>
          <w:tcPr>
            <w:tcW w:type="dxa" w:w="1728"/>
          </w:tcPr>
          <w:p>
            <w:r>
              <w:t>% of Market Cap</w:t>
            </w:r>
          </w:p>
        </w:tc>
        <w:tc>
          <w:tcPr>
            <w:tcW w:type="dxa" w:w="1728"/>
          </w:tcPr>
          <w:p>
            <w:r>
              <w:t>Urgency</w:t>
            </w:r>
          </w:p>
        </w:tc>
      </w:tr>
      <w:tr>
        <w:tc>
          <w:tcPr>
            <w:tcW w:type="dxa" w:w="1728"/>
          </w:tcPr>
          <w:p>
            <w:r>
              <w:t>INV</w:t>
            </w:r>
          </w:p>
        </w:tc>
        <w:tc>
          <w:tcPr>
            <w:tcW w:type="dxa" w:w="1728"/>
          </w:tcPr>
          <w:p>
            <w:r>
              <w:t>$106.6M</w:t>
            </w:r>
          </w:p>
        </w:tc>
        <w:tc>
          <w:tcPr>
            <w:tcW w:type="dxa" w:w="1728"/>
          </w:tcPr>
          <w:p>
            <w:r>
              <w:t>$35.0M</w:t>
            </w:r>
          </w:p>
        </w:tc>
        <w:tc>
          <w:tcPr>
            <w:tcW w:type="dxa" w:w="1728"/>
          </w:tcPr>
          <w:p>
            <w:r>
              <w:t>32.8%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