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NPWR — NET Power Inc. Class A</w:t>
      </w:r>
    </w:p>
    <w:p>
      <w:r>
        <w:rPr>
          <w:i/>
          <w:sz w:val="22"/>
        </w:rPr>
        <w:t>Energy / Industrial Machinery/Components</w:t>
      </w:r>
    </w:p>
    <w:p>
      <w:r>
        <w:rPr>
          <w:b/>
          <w:sz w:val="22"/>
        </w:rPr>
        <w:t xml:space="preserve">Current Market Cap:   </w:t>
      </w:r>
      <w:r>
        <w:rPr>
          <w:sz w:val="22"/>
        </w:rPr>
        <w:t>$411.5M</w:t>
      </w:r>
    </w:p>
    <w:p>
      <w:r>
        <w:rPr>
          <w:b/>
          <w:sz w:val="22"/>
        </w:rPr>
        <w:t xml:space="preserve">Proposed Raise Size:   </w:t>
      </w:r>
      <w:r>
        <w:rPr>
          <w:sz w:val="22"/>
        </w:rPr>
        <w:t>$150.0M (36.4% of market cap)</w:t>
      </w:r>
    </w:p>
    <w:p>
      <w:pPr>
        <w:pStyle w:val="Heading2"/>
      </w:pPr>
      <w:r>
        <w:t>Thesis</w:t>
      </w:r>
    </w:p>
    <w:p>
      <w:r>
        <w:rPr>
          <w:sz w:val="22"/>
        </w:rPr>
        <w:t>NET Power is a pre-revenue clean-power technology developer with roughly $310M of cash and short-term investments and zero debt as of Q2 2026, but management has explicitly targeted a $125-175M equity investment to fund the company's share of Project Permian Phase 1 (total installed cost guided at $475-575M, using Siemens A35 turbines paired with Entropy's post-combustion carbon-capture technology), with a final investment decision (FID) targeted for H2 2026. This is a company-stated, dated equity need tied to a named project, not a speculative screen-driven thesis.</w:t>
      </w:r>
    </w:p>
    <w:p>
      <w:pPr>
        <w:pStyle w:val="Heading2"/>
      </w:pPr>
      <w:r>
        <w:t>Use of Proceeds</w:t>
      </w:r>
    </w:p>
    <w:p>
      <w:r>
        <w:rPr>
          <w:sz w:val="22"/>
        </w:rPr>
        <w:t>Fund NET Power's equity share of Project Permian Phase 1's total installed cost, alongside project-level debt financing and Entropy's potential co-investment (Entropy may take up to 49% equity in the deployment under the companies' Joint Development Agreement).</w:t>
      </w:r>
    </w:p>
    <w:p>
      <w:pPr>
        <w:pStyle w:val="Heading2"/>
      </w:pPr>
      <w:r>
        <w:t>Timing</w:t>
      </w:r>
    </w:p>
    <w:p>
      <w:r>
        <w:rPr>
          <w:sz w:val="22"/>
        </w:rPr>
        <w:t>Management is targeting a final investment decision on Permian Phase 1 in H2 2026, with commercial operations targeted for early 2029 -- the equity commitment needs to be arranged before FID.</w:t>
      </w:r>
    </w:p>
    <w:p>
      <w:pPr>
        <w:pStyle w:val="Heading2"/>
      </w:pPr>
      <w:r>
        <w:t>Why Raise Now</w:t>
      </w:r>
    </w:p>
    <w:p>
      <w:r>
        <w:rPr>
          <w:sz w:val="22"/>
        </w:rPr>
        <w:t>Locking in equity financing ahead of the FID removes execution risk on the company's flagship commercial project and signals to its JDA partner (Entropy) and prospective offtake customers that the capital stack is secured; waiting risks slipping the H2 2026 FID timeline.</w:t>
      </w:r>
    </w:p>
    <w:p>
      <w:pPr>
        <w:pStyle w:val="Heading2"/>
      </w:pPr>
      <w:r>
        <w:t>Risks to the Pitch</w:t>
      </w:r>
    </w:p>
    <w:p>
      <w:r>
        <w:rPr>
          <w:sz w:val="22"/>
        </w:rPr>
        <w:t>NET Power's existing $310M cash position and debt-free balance sheet mean the company is not under near-term liquidity pressure, so this is a growth-financing story rather than a defensive one -- some investors may prefer the company draw down existing cash first, or lean more heavily on Entropy's equity participation and project-level debt, before adding a further dilutive raise.</w:t>
      </w:r>
    </w:p>
    <w:p>
      <w:pPr>
        <w:pStyle w:val="Heading2"/>
      </w:pPr>
      <w:r>
        <w:t>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Ticker</w:t>
            </w:r>
          </w:p>
        </w:tc>
        <w:tc>
          <w:tcPr>
            <w:tcW w:type="dxa" w:w="1728"/>
          </w:tcPr>
          <w:p>
            <w:r>
              <w:t>Market Cap</w:t>
            </w:r>
          </w:p>
        </w:tc>
        <w:tc>
          <w:tcPr>
            <w:tcW w:type="dxa" w:w="1728"/>
          </w:tcPr>
          <w:p>
            <w:r>
              <w:t>Raise Size</w:t>
            </w:r>
          </w:p>
        </w:tc>
        <w:tc>
          <w:tcPr>
            <w:tcW w:type="dxa" w:w="1728"/>
          </w:tcPr>
          <w:p>
            <w:r>
              <w:t>% of Market Cap</w:t>
            </w:r>
          </w:p>
        </w:tc>
        <w:tc>
          <w:tcPr>
            <w:tcW w:type="dxa" w:w="1728"/>
          </w:tcPr>
          <w:p>
            <w:r>
              <w:t>Urgency</w:t>
            </w:r>
          </w:p>
        </w:tc>
      </w:tr>
      <w:tr>
        <w:tc>
          <w:tcPr>
            <w:tcW w:type="dxa" w:w="1728"/>
          </w:tcPr>
          <w:p>
            <w:r>
              <w:t>NPWR</w:t>
            </w:r>
          </w:p>
        </w:tc>
        <w:tc>
          <w:tcPr>
            <w:tcW w:type="dxa" w:w="1728"/>
          </w:tcPr>
          <w:p>
            <w:r>
              <w:t>$411.5M</w:t>
            </w:r>
          </w:p>
        </w:tc>
        <w:tc>
          <w:tcPr>
            <w:tcW w:type="dxa" w:w="1728"/>
          </w:tcPr>
          <w:p>
            <w:r>
              <w:t>$150.0M</w:t>
            </w:r>
          </w:p>
        </w:tc>
        <w:tc>
          <w:tcPr>
            <w:tcW w:type="dxa" w:w="1728"/>
          </w:tcPr>
          <w:p>
            <w:r>
              <w:t>36.4%</w:t>
            </w:r>
          </w:p>
        </w:tc>
        <w:tc>
          <w:tcPr>
            <w:tcW w:type="dxa" w:w="1728"/>
          </w:tcPr>
          <w:p>
            <w:r>
              <w:t>Medium-High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