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Weekly Equity-Raise Candidate Research — Summary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Week of 2026-08-30</w:t>
      </w:r>
    </w:p>
    <w:p>
      <w:r>
        <w:rPr>
          <w:b/>
          <w:color w:val="B00000"/>
          <w:sz w:val="21"/>
        </w:rPr>
        <w:t>COVERAGE GAP FLAGGED BY BATCH 3 (6:30AM ET 8/31): Batch 2 (scheduled 1:15AM ET 8/31) never committed any results to this repository -- git history shows only the Batch 1 commit before this run. Batch 2 was assigned distress-screen names ranked roughly #42-90 by capital_need_score (CRMD through SJT, 50 tickers) plus WOOF (rank #110), which is not on Batch 3's assigned list either. As of this run, those 51 tickers have NO Keep/Drop/Ambiguous disposition anywhere in this week's summaries and were not researched by any batch. This does not match the expectation that all three batches together would cover every candidate scoring &gt;=25 -- a standalone follow-up run covering those 51 tickers is recommended.</w:t>
      </w:r>
    </w:p>
    <w:p>
      <w:pPr>
        <w:pStyle w:val="Heading1"/>
        <w:spacing w:after="160" w:before="300"/>
      </w:pPr>
      <w:r>
        <w:t xml:space="preserve">Keep Names — One-Pager Summary (Both Screens, Accumulated)</w:t>
      </w:r>
    </w:p>
    <w:p>
      <w:pPr>
        <w:spacing w:after="160"/>
      </w:pPr>
      <w:r>
        <w:rPr>
          <w:sz w:val="21"/>
          <w:szCs w:val="21"/>
        </w:rPr>
        <w:t xml:space="preserve">Every Keep name with a finished one-pager in this folder, across all batches researched this week.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1600"/>
        <w:gridCol w:w="1600"/>
        <w:gridCol w:w="1600"/>
        <w:gridCol w:w="1900"/>
      </w:tblGrid>
      <w:tr>
        <w:tc>
          <w:tcPr>
            <w:tcW w:type="dxa" w:w="13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Market Cap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Raise Size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% of Mkt Cap</w:t>
            </w:r>
          </w:p>
        </w:tc>
        <w:tc>
          <w:tcPr>
            <w:tcW w:type="dxa" w:w="1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Urgency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PGEN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$2,488.3M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$497.7M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AVIR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$429.9M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GLSI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$230.0M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TKNO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$382.3M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$76.5M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ASLE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$268.7M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$75.0M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27.9%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YDES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$340.0M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10.3%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GUTS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$104.9M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33.4%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GETY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$105.9M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$42.4M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AMTX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$134.2M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$53.7M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JELD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$219.5M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$87.8M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/>
            <w:r>
              <w:t>Distress</w:t>
            </w:r>
          </w:p>
        </w:tc>
        <w:tc>
          <w:tcPr>
            <w:tcW w:type="dxa" w:w="1600"/>
          </w:tcPr>
          <w:p>
            <w:r/>
            <w:r>
              <w:rPr>
                <w:b/>
              </w:rPr>
              <w:t>BXBL</w:t>
            </w:r>
          </w:p>
        </w:tc>
        <w:tc>
          <w:tcPr>
            <w:tcW w:type="dxa" w:w="1600"/>
          </w:tcPr>
          <w:p>
            <w:r/>
            <w:r>
              <w:t>$968.4M</w:t>
            </w:r>
          </w:p>
        </w:tc>
        <w:tc>
          <w:tcPr>
            <w:tcW w:type="dxa" w:w="1600"/>
          </w:tcPr>
          <w:p>
            <w:r/>
            <w:r>
              <w:t>$75.0M</w:t>
            </w:r>
          </w:p>
        </w:tc>
        <w:tc>
          <w:tcPr>
            <w:tcW w:type="dxa" w:w="1600"/>
          </w:tcPr>
          <w:p>
            <w:r/>
            <w:r>
              <w:t>7.7%</w:t>
            </w:r>
          </w:p>
        </w:tc>
        <w:tc>
          <w:tcPr>
            <w:tcW w:type="dxa" w:w="1900"/>
          </w:tcPr>
          <w:p>
            <w:r/>
            <w:r>
              <w:t>High</w:t>
            </w:r>
          </w:p>
        </w:tc>
      </w:tr>
    </w:tbl>
    <w:p>
      <w:pPr>
        <w:pStyle w:val="Heading1"/>
        <w:spacing w:after="160" w:before="300"/>
      </w:pPr>
      <w:r>
        <w:t xml:space="preserve">Full Disposition — Earlier dry-run test (2026-08-30, single-candidate-per-screen test) + full prior run</w:t>
      </w:r>
    </w:p>
    <w:p>
      <w:pPr>
        <w:spacing w:after="160"/>
      </w:pPr>
      <w:r>
        <w:rPr>
          <w:i/>
          <w:iCs/>
          <w:color w:val="444444"/>
          <w:sz w:val="21"/>
          <w:szCs w:val="21"/>
        </w:rPr>
        <w:t xml:space="preserve">PGEN and ASLE came from an earlier same-day dry run (candidate lists briefly trimmed to one name per screen for a cheap routine test); AVIR, GLSI, and TKNO came from an earlier full run whose own 00_summary.docx disposition rows were later overwritten when the dry run regenerated this file (the one-pager .docx files themselves were preserved and are included in the Keep table above; their original disposition reasoning is no longer recoverable from this file). Preserved rows below are exactly as previously recorded, verbatim.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200"/>
        <w:gridCol w:w="5700"/>
      </w:tblGrid>
      <w:tr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2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57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PGEN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80.2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Thin/falling cash ($38.7M, down $18M in one quarter) and management's own end-2026 breakeven target is contingent on collecting a specific $71.9M AR balance; no recent (within-window) PIPE; mixed (not anti-equity) financing history; stock up 54% into a fresh FDA approval/launch.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ASLE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72.2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Revolver utilization jumped from 63% to 82% drawn in 8 months ($148.2M of $180M facility) with only $2.2M cash and $31.8M availability left, funding a real leasing-portfolio buildout; no going-concern or delisting language found, but debt capacity is genuinely close to tapped out. One-pager written.</w:t>
            </w:r>
          </w:p>
        </w:tc>
      </w:tr>
    </w:tbl>
    <w:p>
      <w:pPr>
        <w:pStyle w:val="Heading1"/>
        <w:spacing w:after="160" w:before="300"/>
      </w:pPr>
      <w:r>
        <w:t xml:space="preserve">Full Disposition — Batch 1 (9PM ET 8/30): up-screen (all remaining) + first 40 distress-screen names</w:t>
      </w:r>
    </w:p>
    <w:p>
      <w:pPr>
        <w:spacing w:after="160"/>
      </w:pPr>
      <w:r>
        <w:rPr>
          <w:i/>
          <w:iCs/>
          <w:color w:val="444444"/>
          <w:sz w:val="21"/>
          <w:szCs w:val="21"/>
        </w:rPr>
        <w:t xml:space="preserve">INV and INDP could not be verified against current filings this run because the session's web-search budget was exhausted after the other 53 names; they are flagged for a standalone follow-up rather than given a guessed disposition.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200"/>
        <w:gridCol w:w="5700"/>
      </w:tblGrid>
      <w:tr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2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57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LUNG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43.2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Not profitable but just drew $40M of a new $60M Perceptive debt facility (Mar 2026) and has an unused $200M shelf; revealed preference for debt, no dated equity catalyst.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RFL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Closed a $25M rights offering roughly 14 months ago (inside/borderline the 15-month primary-offering lookback) and already carries ~$688M of convertible debt; genuine H2-2026 NDA catalyst but recent equity history disqualifies.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36.3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one quarter of profitability and just raised $275M via convertible notes (Jun 2026) rather than common equity; revealed non-equity financing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NEOG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via a $160M asset sale (Genomics business to Zoetis, announced Mar 2026) to cut debt, not equity; adjusted-EBITDA profitable.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NCSM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32.2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Being acquired by Weatherford, closing ~Sept 1, 2026; an independent equity-raise thesis is moot with the deal imminent.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DWSN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32.2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Turned profitable in H1 2026 on 111% revenue growth and finances equipment via debt notes, not equity; no genuine capital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UFI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via a $60M real-estate asset sale (Aug 2026) to deleverage rather than equity;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TLYS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Ample liquidity ($41M cash, no ABL drawn, $50.7M undrawn) and improving profitability; no funding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DLTH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Debt-free with $141.3M net liquidity against a ~$140M market cap; no capital need of any kind.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BKD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profitability (Q2 net income $23.3M) and financed its balance sheet via ~$785M of 2026 debt refinancings,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ZYME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Ample cash ($322.5M, 8+ quarters of runway) and just took a $250M non-dilutive royalty-backed note from Royalty Pharma instead of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INTT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profitability in both Q1 and Q2 2026; no dividend override, but no genuine capital need either.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BWEN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through asset sales (Abilene facility sold Apr 2026, Manitowoc 2025) rather than equity;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ARQT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27.2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Cash growing ($238.9M) with positive Q2 operating cash flow and narrowing losses on strong ZORYVE sales; self-funding, no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DCO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25.8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Clearly profitable (Q2 net income $20.4M) and just arranged a new $650M credit facility (debt) for M&amp;A; revealed debt preference plus profitability.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KRUS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68.5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(Q3 FY26 net income), zero debt, $45M undrawn revolver; ample untapped capacity, no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EYPT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68.0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Real burn (~$43.5M/qtr) but $180.5M cash and management-guided runway to Q4 2027; no going-concern or delisting signal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PLAY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(Q1 net income $5.7M) with $499M total liquidity; the "going concern" language found is boilerplate risk-factor text, not an audit qualification.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BRCB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$3.2M), $25M undrawn revolver, flush from a $338M Sept-2025 IPO; ample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BTBT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64.0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Losses are non-cash digital-asset impairments; operating cash flow positive ($46.8M H1), cash $83.6M, convertible notes not due until 2030.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YDES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63.5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qualification in FY2025 20-F, only $6.0M cash against tripling opex, no debt, no in-window equity raise; genuine small-cap need.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GUTS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63.0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Explicit going-concern language in the Q2 2026 10-Q plus an imminent Nasdaq bid-price compliance deadline (Sept 9, 2026); real, dated urgency.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VITL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61.0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closed a fresh $185M debt facility ($125M term + $60M revolver, Aug 2026) to fund the liquidity gap; ample new debt capacity just tapped, no equity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FWRG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61.0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$2.3M); management guides to positive FCF from 2027 via self-funded, organic growth.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KULR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repaid its only debt facility using bitcoin-asset sales and has explicitly paused its ATM program as a deliberate non-dilutive strategy;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EVGO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$197.7M cash plus $409M of additional DOE-guaranteed loan availability; ample untapped debt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NEXT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$499.6M cash, project-level financing already arranged (~$10.3B), and a shelf already filed (May 2026) for this exact purpose;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GETY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57.2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qualification in the Q2 2026 10-Q, revolver fully drawn by July 2026, Shutterstock merger (the de-leveraging path) terminated, Guggenheim now retained.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QDEL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56.8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completed a $100M acquisition (LEX Diagnostics, Apr 2026); adjusted-earnings profitable, no going concern found — cyclical pressure, not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PTLO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56.5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$7.2M) with revolver availability growing ($41.6M to $74.7M); untapped capacity increasing, not exhausted.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BRSL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55.0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and pays a maintained quarterly dividend ($0.23/share); profitability/dividend override applies directly.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AMTX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55.0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Explicit going-concern language across Q1 and Q2 2026 10-Qs, $3.5M cash against $354.2M of now-current debt, stockholders' deficit $322.1M.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CHPT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Already restructured its debt (Nov 2025 exchange, new $157M loan) and has $150M undrawn revolver; delisting risk already cured via 2025 reverse split.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ABTC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Backed by an 8,002-BTC strategic reserve providing ample non-dilutive liquidity; delisting risk already cured via a July 2026 reverse split.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SPRY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Tight runway, but management already announced 40%+ SG&amp;A cuts toward a mid-2027 breakeven target, and an active securities class action over the CVS Caremark formulary miss makes this a bad moment to pitch a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JELD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~11.3x net leverage, negative H1 2026 free cash flow (-$144.8M), and a dated $400M Senior Notes maturity in December 2027; genuine, if less acute, need.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FWDI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language reportedly tied to a $50M shelf, but this is a volatile Solana-treasury pivot company with an unverified/anomalous reported quarterly loss figure ($585.7M vs. a $435M market cap); data quality too uncertain to promote to a one-pager this run.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DFH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$661M total liquidity and still profitable (Q1 net income $13M); no distress despite the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TRON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51.8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via its ~$234M TRX treasury with minimal debt; treasury value provides a large non-dilutive cushion.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BTGO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51.2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$159M cash, zero debt, plus a $147.7M BTC treasury; well-capitalized post-IPO, no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HDSN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Zero term debt with ~$40M undrawn on its ABL and profitable continuing operations; ample untapped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BZFD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 $120M strategic PIPE-like investment from Allen Family Digital closed in Q2 2026, inside the 6-month lookback, and resolved the prior going-concern flag; capital need already met.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RPAY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Arranged a new $500M term loan (Q1 2026) to fund the KUBRA acquisition and generates positive operating cash flow; ample debt capacity, self-funded.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INV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researched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INDP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researched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GEMI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46.8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Cash burning fast (&lt;1yr runway) but faces a $1.2B NYAG lawsuit plus a securities class action; existential legal/regulatory risk overshadows any financing thesis.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VOR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Already raised $75M+ via a private placement (Mar 2026) and $330M+ total in 2026, inside the 6-month lookback, on top of a new $4B licensing deal; capital need already addressed.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RZLT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$120M of liquid assets against ~$13.7M/quarter burn (8+ quarters of runway); no debt, no going concern — not distressed despite the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CMPX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language is real, but the lead program (tovecimig) missed its Phase 3 survival endpoint in Apr 2026 (stock -66% in a day); pipeline credibility too damaged to pitch a raise now.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XGN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Only $25M of a $75M term-loan facility drawn, leaving $50M undrawn; ample untapped debt capacity, management says funds adequate 12+ months.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ONEW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Actively deleveraging via a non-equity asset sale (Ocean Bio-Chem, Feb 2026), with leverage improving from 5.8x to 3.7x;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HPP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$933.3M total liquidity with $795.3M undrawn on its revolver; a REIT with hugely ample untapped debt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INSE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44.5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Deleveraging via asset divestiture and buying back its own shares; a buyback is the direct opposite of a capital-need signal.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ADMA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Clearly profitable (H1 2026 operating income $110.7M) and covenant-compliant; profitability override applies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LFCR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43.0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Heavy related-party debt load relative to thin liquidity, but $21.6M of revolver headroom remains and no going-concern language was found; not confirmed distressed enough to promote.</w:t>
            </w:r>
          </w:p>
        </w:tc>
      </w:tr>
    </w:tbl>
    <w:p>
      <w:pPr>
        <w:pStyle w:val="Heading1"/>
      </w:pPr>
      <w:r>
        <w:t>Full Disposition — Batch 3 (6:30AM ET 8/31): remaining distress names + INV/INDP carried over from batch 1</w:t>
      </w:r>
    </w:p>
    <w:p>
      <w:r>
        <w:rPr>
          <w:color w:val="444444"/>
          <w:sz w:val="21"/>
        </w:rPr>
        <w:t>This batch was assigned 56 distress-screen names (ranked roughly #91-147 by capital_need_score) plus INV and INDP, carried over from Batch 1 after Batch 1's session web-search budget ran out before reaching them. This run's own session web-search budget was exhausted after researching 40 of these 58 names (WGS through GTM below); the remaining 18 (including INV and INDP again) could not be verified against current filings and are flagged "Not researched" below rather than given a guessed disposition -- recommend a standalone follow-up for those 18, in addition to the Batch 2 gap noted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900"/>
          </w:tcPr>
          <w:p>
            <w:r>
              <w:rPr>
                <w:b/>
                <w:sz w:val="18"/>
              </w:rPr>
              <w:t>Screen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Ticker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1200"/>
          </w:tcPr>
          <w:p>
            <w:r>
              <w:rPr>
                <w:b/>
                <w:sz w:val="18"/>
              </w:rPr>
              <w:t>Disposition</w:t>
            </w:r>
          </w:p>
        </w:tc>
        <w:tc>
          <w:tcPr>
            <w:tcW w:type="dxa" w:w="57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WGS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A $5M private placement plus a $50M term-loan facility expansion from a Blackstone affiliate closed August 2026, inside the 6-month lookback; capital need already being addressed via a non-public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UWMC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Closed a $2.05B capital-restructuring investment (Oaktree/Ishbia SFS Group, preferred stock + warrants, Aug 5 2026) and already has a $400M+ rights offering scheduled Oct-Nov 2026; capital need already being addressed.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UPST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Returned to GAAP profitability (Q2 net income $17M) with $982.3M cash; explicitly funding growth without adding equity capital and repurchasing convertible notes.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SGRY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$216.7M cash plus $617.8M undrawn on its revolver; ample untapped debt capacity despite elevated 4.4x leverage,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ROCK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$470.3M undrawn on a $500M revolver; Q2 net income was positive ($8.19M) and the H1 net loss was driven by a one-time $243M renewables impairment, not operating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Genuinely thin cash ($53.8M) against ~7x net leverage, but management's stated de-leveraging plan is to monetize ~$500M of real estate and $300M of excess inventory -- an active asset-sale process, not an equity ask.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PLBY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Barely profitable with six consecutive quarters of positive adjusted EBITDA, in leverage-covenant compliance, and its prior Nasdaq minimum-bid-price notice was already cured; stabilizing, not distressed.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ONT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$188.4M total liquidity (cash + revolver availability) with leverage below its covenant threshold and no going-concern language; an activist-investigation/litigation overhang doesn't itself create a capital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OI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$1.11B undrawn on its credit facility and already refinanced its 2027 debt maturity in May 2026; ample capacity,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MBC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Positive free cash flow ($128.6M) and ~$355M of revolver availability with covenants already amended for flexibility; net loss was merger/legacy-accounting driven, not a cash problem.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KLC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$322.6M total liquidity and $238.5M of 2025 operating cash flow; the large net loss was a non-cash goodwill impairment, not operational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HCAT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Debt-free after retiring its credit facility and divesting Vitalware for $147M net proceeds (a revealed asset-sale preference over equity); adjusted EBITDA margin improving.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GRPN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Genuine stockholders' equity deficit ($72.1M) and a 2027 convertible-note maturity approaching, but the 10-Q itself asserts liquidity is sufficient to repay those notes and no going-concern language was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FWRD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Leverage covenant is tightening (5.44x against a 6.25x cap, stepping to 5.5x by end-2026) and a major customer ($250M revenue) is departing in early 2027, but the $261M revolver is undrawn and the company is exploring "strategic alternatives" (M&amp;A-like process) rather than signaling an equity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EVH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Management states liquidity is sufficient for the next 12 months and the company just refinanced via a $140M convertible-note issuance (debt, not equity); no near-term maturity,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CWH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Now profitable (Q2 net income $43.7M) and already completed a $300M follow-on equity offering in 2026; capital need already addressed via a recent primary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CPS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Refinanced its notes out to a 2031 maturity in March 2026 (no near-term refinancing pressure) with $167M of ABL availability; no going-concern language despite a negative book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CNDT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~$190M of net available credit plus $234M of asset-sale proceeds from the Modaxo transaction (revealed non-equity preference); no going concern, no near-term maturity.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AIRS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Genuinely thin liquidity ($18.8M cash, only $5M revolver available) and a debt-amendment payment due September 2026, but the company is already funding itself continuously through an active ATM equity program, making a discrete new-raise pitch largely redundant.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BXBL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29.2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Keep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Explicit going-concern language in the Q1 2026 10-Q, ~7-month cash runway ($22M cash vs. ~$40M annual burn), zero debt, and a newly effective $500M shelf (Aug 10, 2026) ready for a primary raise.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AIOT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29.0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Thin cash ($32.8M) against tight near-term debt maturities ($5M due 2026, $48M due 2027), but going-concern status and current Nasdaq filing-compliance status could not be confirmed either way this run.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TMCI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$115M undrawn on its credit facility with narrowing losses; no going-concern language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LENZ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Closed a $147.1M equity raise (registered direct/ATM) as of June 30, 2026, inside the 6-month lookback; capital need already addressed, and $220M cash is ample regardless.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BMBL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Successfully refinanced its debt in April 2026 (evidencing continued capital-markets access), with the binding leverage-covenant step-down not due until mid-2028;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SHAK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Clearly profitable (Q2 net income $16.9M) with $308M cash; no distress signal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GOGO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Positive and guided free cash flow ($65-85M FY2026), leverage described as constrained-but-adequate (3.6x), debt not due until 2028,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DJT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$1.86B of liquid/investable assets (cash, short-term investments, and a bitcoin treasury) comfortably covers the $1.0B convertible note due Nov 30, 2026; ample coverage despite the large dated maturity,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ANNA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Four consecutive profitable quarters with an ample net cash position; the company's prior going-concern flag has already been resolved.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MDXG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Ample cash with a $75M undrawn revolver; its recent M&amp;A (Sanara MedTech acquisition) was financed via a committed term loan (debt),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COLL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Financed its $655.6M Azstarys acquisition via a delayed-draw term loan (debt), not equity; moderate leverage (~2.1x net debt/EBITDA),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AMPH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Clearly profitable (Q1/Q2 net income $6.4M/$30.3M) with $290.1M of total liquidity and positive operating cash flow.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SLDP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$419.3M cash against a guided $85-100M FY2026 burn (multi-year runway), debt-free balance sheet;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Enormous net cash position (+$327.9M) after a January 2026 private placement; the Nasdaq compliance issues found are filing/administrative in nature, not capital-need-driven.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QUBT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$1.3B of cash and investments against roughly $40-50M of quarterly burn; no going concern, no genuine capital need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SRG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26.5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Went private and was delisted from the NYSE in March 2025 following a go-private merger; no longer a viable public equity-raise candidate (data-quality flag for the screen).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GLIBA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26.5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Initiating a new shareholder dividend (~$60M/year starting Dec 2026), with an ample undrawn revolver ($447M) and covenant compliance; a self-funding, dividend-initiating company, not a distressed one.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RPD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$702.6M cash comfortably exceeds the $600M convertible note due March 2027; positive free cash flow, and management states it is well-positioned to repay from cash and FCF.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PRTH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Profitable (Q2 EPS $0.12) with ample liquidity and debt capacity; its Nasdaq minimum-bid-price issue is being addressed via a contemplated reverse split, not a capital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PAR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Roughly 35 months of cash runway at the current burn rate with no going-concern or delisting signal found; debt-term detail was incomplete but no acute near-term catalyst was identified.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GTM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Strong positive unlevered free cash flow ($107M in Q2) and an active share-buyback program under way -- the opposite of a capital need; well-laddered debt maturities,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DOMO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BLKB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INV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49.5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Carried over from Batch 1, which also could not reach it before its own budget ran out. This run's web-search budget was again exhausted before INV's turn; no disposition reached this run — recommend a standalone follow-up (second consecutive miss).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INDP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47.5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Carried over from Batch 1, which also could not reach it before its own budget ran out. This run's web-search budget was again exhausted before INDP's turn; no disposition reached this run — recommend a standalone follow-up (second consecutive miss).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WHR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VTS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TRAK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PRGO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NCMI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MGPI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LUCK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KMPR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FMC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EMBC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CCOI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BRLT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ALTG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ALIT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 despite an unusually severe -81.4% 1yr decline; this run could not independently verify it is still current — recommend a standalone follow-up.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2026-08-31T01:15:28.055Z</dcterms:created>
  <dcterms:modified xsi:type="dcterms:W3CDTF">2026-08-31T01:15:28.055Z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