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LNSR — LENSAR Inc.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Health Care / Medical &amp; Dental Instruments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Current Market Cap:  $102.0M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Proposed Raise Size:  $20.0M (19.6% of market cap)</w:t>
      </w:r>
    </w:p>
    <w:p>
      <w:pPr>
        <w:pStyle w:val="Heading2"/>
        <w:spacing w:after="100" w:before="240"/>
      </w:pPr>
      <w:r>
        <w:t xml:space="preserve">Thesis</w:t>
      </w:r>
    </w:p>
    <w:p>
      <w:pPr>
        <w:spacing w:after="160"/>
      </w:pPr>
      <w:r>
        <w:t xml:space="preserve">Cash fell to $13.6M as of the June 30, 2026 quarter-end, down from $18.0M at year-end 2025, against a core operating burn of roughly $4.3M per quarter once one-time, non-operating items are excluded. A $23.9M warrant-liability fair-value gain and $10M of acquisition-related income drove Q2 2026 to a reported GAAP profit of $3.5M, masking continued unprofitable core operations.</w:t>
      </w:r>
    </w:p>
    <w:p>
      <w:pPr>
        <w:spacing w:after="160"/>
      </w:pPr>
      <w:r>
        <w:t xml:space="preserve">At that core burn rate, unrestricted cash covers roughly three quarters -- inside the next twelve months -- and LENSAR carries zero debt on its balance sheet, meaning there is no revolver or term loan to bridge the gap; any near-term financing has to come from equity or a new facility.</w:t>
      </w:r>
    </w:p>
    <w:p>
      <w:pPr>
        <w:spacing w:after="160"/>
      </w:pPr>
      <w:r>
        <w:t xml:space="preserve">No primary offering, PIPE, or Form D was identified in the trailing six months (the last outside capital was a 2024 Series A convertible preferred raise, well outside the lookback window), and no going-concern language or delisting notice was found. This is a thinning-runway story rather than an active crisis, but the runway math is real and near-term.</w:t>
      </w:r>
    </w:p>
    <w:p>
      <w:pPr>
        <w:pStyle w:val="Heading2"/>
        <w:spacing w:after="100" w:before="240"/>
      </w:pPr>
      <w:r>
        <w:t xml:space="preserve">Use of Proceeds</w:t>
      </w:r>
    </w:p>
    <w:p>
      <w:pPr>
        <w:spacing w:after="160"/>
      </w:pPr>
      <w:r>
        <w:t xml:space="preserve">Fund ongoing operating expenses and working capital for LENSAR's cataract-surgery laser platform business -- device placements, consumables manufacturing, and commercial team costs -- through at least the next five to six quarters, rather than a discrete one-time project.</w:t>
      </w:r>
    </w:p>
    <w:p>
      <w:pPr>
        <w:pStyle w:val="Heading2"/>
        <w:spacing w:after="100" w:before="240"/>
      </w:pPr>
      <w:r>
        <w:t xml:space="preserve">Timing</w:t>
      </w:r>
    </w:p>
    <w:p>
      <w:pPr>
        <w:spacing w:after="160"/>
      </w:pPr>
      <w:r>
        <w:t xml:space="preserve">On the disclosed $13.6M cash position and ~$4.3M/quarter core burn, LENSAR's cash runway extends only into roughly mid-2027 without new financing -- inside the horizon a public company needs to address before it becomes a going-concern disclosure item in a future 10-Q.</w:t>
      </w:r>
    </w:p>
    <w:p>
      <w:pPr>
        <w:pStyle w:val="Heading2"/>
        <w:spacing w:after="100" w:before="240"/>
      </w:pPr>
      <w:r>
        <w:t xml:space="preserve">Why Raise Now</w:t>
      </w:r>
    </w:p>
    <w:p>
      <w:pPr>
        <w:spacing w:after="160"/>
      </w:pPr>
      <w:r>
        <w:t xml:space="preserve">With zero debt outstanding, LENSAR has no credit line to draw as an interim bridge, and the one-time gains that flattered Q2 GAAP results (warrant revaluation, acquisition accounting) will not recur -- the underlying cash trajectory will reassert itself in the second half of 2026. Raising before the cash cushion narrows further, and before any going-concern language appears, should price better than waiting.</w:t>
      </w:r>
    </w:p>
    <w:p>
      <w:pPr>
        <w:pStyle w:val="Heading2"/>
        <w:spacing w:after="100" w:before="240"/>
      </w:pPr>
      <w:r>
        <w:t xml:space="preserve">Risks to the Pitch</w:t>
      </w:r>
    </w:p>
    <w:p>
      <w:pPr>
        <w:spacing w:after="160"/>
      </w:pPr>
      <w:r>
        <w:t xml:space="preserve">LENSAR's reported GAAP profitability in Q2 2026, even though driven by non-operating items, may complicate the cash-need pitch to investors who look at the headline income-statement figure rather than segment-level cash burn; management would need to clearly walk through the adjusted, core-operations burn rate to make the case.</w:t>
      </w:r>
    </w:p>
    <w:p>
      <w:pPr>
        <w:spacing w:after="160"/>
      </w:pPr>
      <w:r>
        <w:t xml:space="preserve">This is also a small-cap medical device name in a competitive cataract-surgery equipment market, and a raise sized at roughly a fifth of market cap will be meaningfully dilutive for a company that hasn't yet secured a clear catalyst to justify a premium valuation.</w:t>
      </w:r>
    </w:p>
    <w:p>
      <w:pPr>
        <w:pStyle w:val="Heading2"/>
        <w:spacing w:after="100" w:before="240"/>
      </w:pPr>
      <w:r>
        <w:t xml:space="preserve">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100"/>
        <w:gridCol w:w="2300"/>
        <w:gridCol w:w="1600"/>
      </w:tblGrid>
      <w:tr>
        <w:tc>
          <w:tcPr>
            <w:tcW w:type="dxa" w:w="1400"/>
            <w:shd w:fill="DDDDDD" w:val="clear"/>
          </w:tcPr>
          <w:p>
            <w:r>
              <w:rPr>
                <w:b/>
                <w:bCs/>
              </w:rPr>
              <w:t xml:space="preserve">Ticker</w:t>
            </w:r>
          </w:p>
        </w:tc>
        <w:tc>
          <w:tcPr>
            <w:tcW w:type="dxa" w:w="2100"/>
            <w:shd w:fill="DDDDDD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2100"/>
            <w:shd w:fill="DDDDDD" w:val="clear"/>
          </w:tcPr>
          <w:p>
            <w:r>
              <w:rPr>
                <w:b/>
                <w:bCs/>
              </w:rPr>
              <w:t xml:space="preserve">Raise Size</w:t>
            </w:r>
          </w:p>
        </w:tc>
        <w:tc>
          <w:tcPr>
            <w:tcW w:type="dxa" w:w="2300"/>
            <w:shd w:fill="DDDDDD" w:val="clear"/>
          </w:tcPr>
          <w:p>
            <w:r>
              <w:rPr>
                <w:b/>
                <w:bCs/>
              </w:rPr>
              <w:t xml:space="preserve">% of Market Cap</w:t>
            </w:r>
          </w:p>
        </w:tc>
        <w:tc>
          <w:tcPr>
            <w:tcW w:type="dxa" w:w="1600"/>
            <w:shd w:fill="DDDDDD" w:val="clear"/>
          </w:tcPr>
          <w:p>
            <w:r>
              <w:rPr>
                <w:b/>
                <w:bCs/>
              </w:rPr>
              <w:t xml:space="preserve">Urgency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LNSR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$102.0M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$20.0M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19.6%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Medium-High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2026-08-31T16:00:43.171Z</dcterms:created>
  <dcterms:modified xsi:type="dcterms:W3CDTF">2026-08-31T16:00:43.171Z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