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LVWR — LiveWire Group Inc.</w:t>
      </w:r>
    </w:p>
    <w:p>
      <w:pPr>
        <w:spacing w:after="40"/>
      </w:pPr>
      <w:r>
        <w:rPr>
          <w:b w:val="false"/>
          <w:bCs w:val="false"/>
          <w:sz w:val="22"/>
          <w:szCs w:val="22"/>
        </w:rPr>
        <w:t xml:space="preserve">Consumer Discretionary / Motor Vehicles (electric motorcycles)</w:t>
      </w:r>
    </w:p>
    <w:p>
      <w:pPr>
        <w:spacing w:after="40"/>
      </w:pPr>
      <w:r>
        <w:rPr>
          <w:b w:val="false"/>
          <w:bCs w:val="false"/>
          <w:sz w:val="22"/>
          <w:szCs w:val="22"/>
        </w:rPr>
        <w:t xml:space="preserve">Current Market Cap:  $277.3M</w:t>
      </w:r>
    </w:p>
    <w:p>
      <w:pPr>
        <w:spacing w:after="40"/>
      </w:pPr>
      <w:r>
        <w:rPr>
          <w:b w:val="false"/>
          <w:bCs w:val="false"/>
          <w:sz w:val="22"/>
          <w:szCs w:val="22"/>
        </w:rPr>
        <w:t xml:space="preserve">Proposed Raise Size:  $80.0M (28.8% of market cap)</w:t>
      </w:r>
    </w:p>
    <w:p>
      <w:pPr>
        <w:pStyle w:val="Heading2"/>
        <w:spacing w:after="100" w:before="240"/>
      </w:pPr>
      <w:r>
        <w:t xml:space="preserve">Thesis</w:t>
      </w:r>
    </w:p>
    <w:p>
      <w:pPr>
        <w:spacing w:after="160"/>
      </w:pPr>
      <w:r>
        <w:t xml:space="preserve">LiveWire held $67.5M of cash as of March 31, 2026, against roughly $26.4M of operating cash burn in the first half of 2026 (an approximately $53M annualized rate), consistent with management's own framing of about 12 months of runway as of mid-2026.</w:t>
      </w:r>
    </w:p>
    <w:p>
      <w:pPr>
        <w:spacing w:after="160"/>
      </w:pPr>
      <w:r>
        <w:t xml:space="preserve">More pressingly, LiveWire carries a $75-76.8M related-party term loan from its controlling shareholder, Harley-Davidson, that matures at the earlier of 24 months from first draw or October 31, 2026 -- a real, dated, near-term debt wall against a company that is still burning cash and not yet profitable.</w:t>
      </w:r>
    </w:p>
    <w:p>
      <w:pPr>
        <w:spacing w:after="160"/>
      </w:pPr>
      <w:r>
        <w:t xml:space="preserve">The company already has a $50M at-the-market equity program in place under a $100M shelf, but management has stated it is actively exploring additional financing beyond the ATM for Q3 2026, indicating the existing facility alone is not viewed as sufficient. No going-concern language or exchange delisting notice was identified, but the combination of thin cash, ongoing burn, and an imminent related-party debt maturity is a genuine, dated financing need.</w:t>
      </w:r>
    </w:p>
    <w:p>
      <w:pPr>
        <w:pStyle w:val="Heading2"/>
        <w:spacing w:after="100" w:before="240"/>
      </w:pPr>
      <w:r>
        <w:t xml:space="preserve">Use of Proceeds</w:t>
      </w:r>
    </w:p>
    <w:p>
      <w:pPr>
        <w:spacing w:after="160"/>
      </w:pPr>
      <w:r>
        <w:t xml:space="preserve">Refinance or repay the ~$75-77M Harley-Davidson related-party term loan due October 31, 2026, with the balance applied to working capital and operating burn tied to the ramp of the new S2 Del Mar and S2 Mulholland models and the recently launched S2 Honcho line (production began June 2026), plus integration of the newly closed Dust Motorcycles acquisition.</w:t>
      </w:r>
    </w:p>
    <w:p>
      <w:pPr>
        <w:pStyle w:val="Heading2"/>
        <w:spacing w:after="100" w:before="240"/>
      </w:pPr>
      <w:r>
        <w:t xml:space="preserve">Timing</w:t>
      </w:r>
    </w:p>
    <w:p>
      <w:pPr>
        <w:spacing w:after="160"/>
      </w:pPr>
      <w:r>
        <w:t xml:space="preserve">The Harley-Davidson term loan's October 31, 2026 maturity is a hard, dated deadline -- a raise needs to price and close well ahead of that date to avoid a distressed, last-minute refinancing with a related party that has obvious leverage over the terms.</w:t>
      </w:r>
    </w:p>
    <w:p>
      <w:pPr>
        <w:pStyle w:val="Heading2"/>
        <w:spacing w:after="100" w:before="240"/>
      </w:pPr>
      <w:r>
        <w:t xml:space="preserve">Why Raise Now</w:t>
      </w:r>
    </w:p>
    <w:p>
      <w:pPr>
        <w:spacing w:after="160"/>
      </w:pPr>
      <w:r>
        <w:t xml:space="preserve">The alternative to raising now is negotiating an extension or refinancing directly with Harley-Davidson, LiveWire's controlling shareholder and the lender on the maturing loan -- a related-party negotiation that offers little of the pricing discipline an arm's-length capital markets raise would provide, and which keeps LiveWire financially dependent on its parent at a moment when it is trying to establish an independent growth story.</w:t>
      </w:r>
    </w:p>
    <w:p>
      <w:pPr>
        <w:pStyle w:val="Heading2"/>
        <w:spacing w:after="100" w:before="240"/>
      </w:pPr>
      <w:r>
        <w:t xml:space="preserve">Risks to the Pitch</w:t>
      </w:r>
    </w:p>
    <w:p>
      <w:pPr>
        <w:spacing w:after="160"/>
      </w:pPr>
      <w:r>
        <w:t xml:space="preserve">This is a related-party financing situation, and Harley-Davidson could simply choose to extend or restructure the loan on its own terms rather than allow LiveWire to term it out with outside capital, which would make an independent equity pitch moot.</w:t>
      </w:r>
    </w:p>
    <w:p>
      <w:pPr>
        <w:spacing w:after="160"/>
      </w:pPr>
      <w:r>
        <w:t xml:space="preserve">LiveWire is also a small, early-stage electric-vehicle brand within a still-unproven category, and investors may reasonably ask why a $50M ATM already in place isn't enough before committing to a larger, more dilutive raise -- management will need to be specific about why the ATM alone can't clear the debt maturity in time.</w:t>
      </w:r>
    </w:p>
    <w:p>
      <w:pPr>
        <w:pStyle w:val="Heading2"/>
        <w:spacing w:after="100" w:before="240"/>
      </w:pPr>
      <w:r>
        <w:t xml:space="preserve">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2300"/>
        <w:gridCol w:w="1600"/>
      </w:tblGrid>
      <w:tr>
        <w:tc>
          <w:tcPr>
            <w:tcW w:type="dxa" w:w="1400"/>
            <w:shd w:fill="DDDDDD" w:val="clear"/>
          </w:tcPr>
          <w:p>
            <w:r>
              <w:rPr>
                <w:b/>
                <w:bCs/>
              </w:rPr>
              <w:t xml:space="preserve">Ticker</w:t>
            </w:r>
          </w:p>
        </w:tc>
        <w:tc>
          <w:tcPr>
            <w:tcW w:type="dxa" w:w="2100"/>
            <w:shd w:fill="DDDDDD" w:val="clear"/>
          </w:tcPr>
          <w:p>
            <w:r>
              <w:rPr>
                <w:b/>
                <w:bCs/>
              </w:rPr>
              <w:t xml:space="preserve">Market Cap</w:t>
            </w:r>
          </w:p>
        </w:tc>
        <w:tc>
          <w:tcPr>
            <w:tcW w:type="dxa" w:w="2100"/>
            <w:shd w:fill="DDDDDD" w:val="clear"/>
          </w:tcPr>
          <w:p>
            <w:r>
              <w:rPr>
                <w:b/>
                <w:bCs/>
              </w:rPr>
              <w:t xml:space="preserve">Raise Size</w:t>
            </w:r>
          </w:p>
        </w:tc>
        <w:tc>
          <w:tcPr>
            <w:tcW w:type="dxa" w:w="2300"/>
            <w:shd w:fill="DDDDDD" w:val="clear"/>
          </w:tcPr>
          <w:p>
            <w:r>
              <w:rPr>
                <w:b/>
                <w:bCs/>
              </w:rPr>
              <w:t xml:space="preserve">% of Market Cap</w:t>
            </w:r>
          </w:p>
        </w:tc>
        <w:tc>
          <w:tcPr>
            <w:tcW w:type="dxa" w:w="1600"/>
            <w:shd w:fill="DDDDDD" w:val="clear"/>
          </w:tcPr>
          <w:p>
            <w:r>
              <w:rPr>
                <w:b/>
                <w:bCs/>
              </w:rPr>
              <w:t xml:space="preserve">Urgency</w:t>
            </w:r>
          </w:p>
        </w:tc>
      </w:tr>
      <w:tr>
        <w:tc>
          <w:tcPr>
            <w:tcW w:type="dxa" w:w="1400"/>
          </w:tcPr>
          <w:p>
            <w:r>
              <w:rPr>
                <w:b w:val="false"/>
                <w:bCs w:val="false"/>
              </w:rPr>
              <w:t xml:space="preserve">LVWR</w:t>
            </w:r>
          </w:p>
        </w:tc>
        <w:tc>
          <w:tcPr>
            <w:tcW w:type="dxa" w:w="2100"/>
          </w:tcPr>
          <w:p>
            <w:r>
              <w:rPr>
                <w:b w:val="false"/>
                <w:bCs w:val="false"/>
              </w:rPr>
              <w:t xml:space="preserve">$277.3M</w:t>
            </w:r>
          </w:p>
        </w:tc>
        <w:tc>
          <w:tcPr>
            <w:tcW w:type="dxa" w:w="2100"/>
          </w:tcPr>
          <w:p>
            <w:r>
              <w:rPr>
                <w:b w:val="false"/>
                <w:bCs w:val="false"/>
              </w:rPr>
              <w:t xml:space="preserve">$80.0M</w:t>
            </w:r>
          </w:p>
        </w:tc>
        <w:tc>
          <w:tcPr>
            <w:tcW w:type="dxa" w:w="2300"/>
          </w:tcPr>
          <w:p>
            <w:r>
              <w:rPr>
                <w:b w:val="false"/>
                <w:bCs w:val="false"/>
              </w:rPr>
              <w:t xml:space="preserve">28.8%</w:t>
            </w:r>
          </w:p>
        </w:tc>
        <w:tc>
          <w:tcPr>
            <w:tcW w:type="dxa" w:w="1600"/>
          </w:tcPr>
          <w:p>
            <w:r>
              <w:rPr>
                <w:b w:val="false"/>
                <w:bCs w:val="false"/>
              </w:rPr>
              <w:t xml:space="preserve">High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2026-08-31T16:00:43.225Z</dcterms:created>
  <dcterms:modified xsi:type="dcterms:W3CDTF">2026-08-31T16:00:43.225Z</dcterms:modified>
</cp:coreProperties>
</file>

<file path=docProps/custom.xml><?xml version="1.0" encoding="utf-8"?>
<Properties xmlns="http://schemas.openxmlformats.org/officeDocument/2006/custom-properties" xmlns:vt="http://schemas.openxmlformats.org/officeDocument/2006/docPropsVTypes"/>
</file>