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OPTU — Optimum Communications Inc.</w:t>
      </w:r>
    </w:p>
    <w:p>
      <w:pPr>
        <w:spacing w:after="40"/>
      </w:pPr>
      <w:r>
        <w:rPr>
          <w:b w:val="false"/>
          <w:bCs w:val="false"/>
          <w:sz w:val="22"/>
          <w:szCs w:val="22"/>
        </w:rPr>
        <w:t xml:space="preserve">Telecommunications / Cable &amp; Other Pay Television Services</w:t>
      </w:r>
    </w:p>
    <w:p>
      <w:pPr>
        <w:spacing w:after="40"/>
      </w:pPr>
      <w:r>
        <w:rPr>
          <w:b w:val="false"/>
          <w:bCs w:val="false"/>
          <w:sz w:val="22"/>
          <w:szCs w:val="22"/>
        </w:rPr>
        <w:t xml:space="preserve">Current Market Cap:  $464.7M</w:t>
      </w:r>
    </w:p>
    <w:p>
      <w:pPr>
        <w:spacing w:after="40"/>
      </w:pPr>
      <w:r>
        <w:rPr>
          <w:b w:val="false"/>
          <w:bCs w:val="false"/>
          <w:sz w:val="22"/>
          <w:szCs w:val="22"/>
        </w:rPr>
        <w:t xml:space="preserve">Proposed Raise Size:  $186.0M (40.0% of market cap)</w:t>
      </w:r>
    </w:p>
    <w:p>
      <w:pPr>
        <w:pStyle w:val="Heading2"/>
        <w:spacing w:after="100" w:before="240"/>
      </w:pPr>
      <w:r>
        <w:t xml:space="preserve">Thesis</w:t>
      </w:r>
    </w:p>
    <w:p>
      <w:pPr>
        <w:spacing w:after="160"/>
      </w:pPr>
      <w:r>
        <w:t xml:space="preserve">Optimum Communications disclosed explicit going-concern language in its Q1 2026 10-Q, stating that its debt maturities exceed committed financing resources. The scale of the problem dwarfs the company's public equity value: total debt stood at $26.55 billion as of Q2 2026, against roughly $4.1 billion due in April 2027 and another $2.125 billion due in July 2027 (approximately $6.3 billion of total 2027 maturities), while the current equity market capitalization is only about $465 million.</w:t>
      </w:r>
    </w:p>
    <w:p>
      <w:pPr>
        <w:spacing w:after="160"/>
      </w:pPr>
      <w:r>
        <w:t xml:space="preserve">Cash and liquidity of roughly $1.0-1.3 billion provide some cushion, but nowhere close to the size of the 2027 wall, and the company just took a $2.7 billion non-cash impairment on franchise goodwill (driving a $2.884 billion GAAP net loss in Q1 2026) reflecting genuine deterioration in the underlying video/broadband franchise value.</w:t>
      </w:r>
    </w:p>
    <w:p>
      <w:pPr>
        <w:spacing w:after="160"/>
      </w:pPr>
      <w:r>
        <w:t xml:space="preserve">On top of the balance-sheet strain, the NYSE issued a minimum-bid-price non-compliance notice on August 13, 2026, with a cure period running to February 13, 2027 -- compounding the financing story with a live delisting clock. Adjusted EBITDA remains healthy (~$789M, 38.2% margin in Q1 2026), so this is a capital-structure problem layered on an operating business that still throws off real cash, not a business that has stopped functioning.</w:t>
      </w:r>
    </w:p>
    <w:p>
      <w:pPr>
        <w:pStyle w:val="Heading2"/>
        <w:spacing w:after="100" w:before="240"/>
      </w:pPr>
      <w:r>
        <w:t xml:space="preserve">Use of Proceeds</w:t>
      </w:r>
    </w:p>
    <w:p>
      <w:pPr>
        <w:spacing w:after="160"/>
      </w:pPr>
      <w:r>
        <w:t xml:space="preserve">Apply proceeds toward paying down or pre-funding a portion of the $4.1 billion of debt maturing in April 2027, as one piece of a broader refinancing package alongside new secured/unsecured debt issuance and asset sales -- an equity raise at this market cap cannot resolve the maturity wall alone and should be pitched explicitly as a partial, capital-structure-improving component of a larger refinancing.</w:t>
      </w:r>
    </w:p>
    <w:p>
      <w:pPr>
        <w:pStyle w:val="Heading2"/>
        <w:spacing w:after="100" w:before="240"/>
      </w:pPr>
      <w:r>
        <w:t xml:space="preserve">Timing</w:t>
      </w:r>
    </w:p>
    <w:p>
      <w:pPr>
        <w:spacing w:after="160"/>
      </w:pPr>
      <w:r>
        <w:t xml:space="preserve">The April 2027 maturity is roughly eight months out from today; refinancing processes for maturities of this size typically need to be substantially arranged 6-12 months in advance to avoid a market-driven liquidity crisis, and the NYSE bid-price cure period (to February 13, 2027) creates a second, overlapping deadline.</w:t>
      </w:r>
    </w:p>
    <w:p>
      <w:pPr>
        <w:pStyle w:val="Heading2"/>
        <w:spacing w:after="100" w:before="240"/>
      </w:pPr>
      <w:r>
        <w:t xml:space="preserve">Why Raise Now</w:t>
      </w:r>
    </w:p>
    <w:p>
      <w:pPr>
        <w:spacing w:after="160"/>
      </w:pPr>
      <w:r>
        <w:t xml:space="preserve">With going-concern language already in the filings and a delisting clock running in parallel, waiting risks both deadlines converging at once; even an equity raise that is small relative to total debt improves the optics and standalone equity cushion ahead of creditor negotiations. The alternative -- raising after the delisting notice escalates or after a going-concern qualification hardens further -- is worse than raising now, at whatever price is available.</w:t>
      </w:r>
    </w:p>
    <w:p>
      <w:pPr>
        <w:pStyle w:val="Heading2"/>
        <w:spacing w:after="100" w:before="240"/>
      </w:pPr>
      <w:r>
        <w:t xml:space="preserve">Risks to the Pitch</w:t>
      </w:r>
    </w:p>
    <w:p>
      <w:pPr>
        <w:spacing w:after="160"/>
      </w:pPr>
      <w:r>
        <w:t xml:space="preserve">This is the hardest of the three pitches to close. At a $465M market cap against a $26.55 billion debt load, a raise capped at 40% of market cap (~$186M) is immaterial relative to the actual 2027 maturity wall (~$6.3B) -- this raise cannot by itself solve the capital structure problem, and the researched need exceeds the sizing cap, so this is sized at the cap rather than at the true requirement.</w:t>
      </w:r>
    </w:p>
    <w:p>
      <w:pPr>
        <w:spacing w:after="160"/>
      </w:pPr>
      <w:r>
        <w:t xml:space="preserve">Investors will reasonably ask whether new equity simply subordinates itself ahead of a restructuring or exchange offer that could wipe out existing equity value entirely. A going-concern-flagged, delisting-risk company at this leverage is arguably better addressed through a negotiated debt exchange or bankruptcy-adjacent restructuring than a public equity raise, and any pitch needs to be explicit that this financing alone does not remove restructuring risk to equity holders.</w:t>
      </w:r>
    </w:p>
    <w:p>
      <w:pPr>
        <w:pStyle w:val="Heading2"/>
        <w:spacing w:after="100" w:before="240"/>
      </w:pPr>
      <w:r>
        <w:t xml:space="preserve">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100"/>
        <w:gridCol w:w="2300"/>
        <w:gridCol w:w="1600"/>
      </w:tblGrid>
      <w:tr>
        <w:tc>
          <w:tcPr>
            <w:tcW w:type="dxa" w:w="1400"/>
            <w:shd w:fill="DDDDDD" w:val="clear"/>
          </w:tcPr>
          <w:p>
            <w:r>
              <w:rPr>
                <w:b/>
                <w:bCs/>
              </w:rPr>
              <w:t xml:space="preserve">Ticker</w:t>
            </w:r>
          </w:p>
        </w:tc>
        <w:tc>
          <w:tcPr>
            <w:tcW w:type="dxa" w:w="2100"/>
            <w:shd w:fill="DDDDDD" w:val="clear"/>
          </w:tcPr>
          <w:p>
            <w:r>
              <w:rPr>
                <w:b/>
                <w:bCs/>
              </w:rPr>
              <w:t xml:space="preserve">Market Cap</w:t>
            </w:r>
          </w:p>
        </w:tc>
        <w:tc>
          <w:tcPr>
            <w:tcW w:type="dxa" w:w="2100"/>
            <w:shd w:fill="DDDDDD" w:val="clear"/>
          </w:tcPr>
          <w:p>
            <w:r>
              <w:rPr>
                <w:b/>
                <w:bCs/>
              </w:rPr>
              <w:t xml:space="preserve">Raise Size</w:t>
            </w:r>
          </w:p>
        </w:tc>
        <w:tc>
          <w:tcPr>
            <w:tcW w:type="dxa" w:w="2300"/>
            <w:shd w:fill="DDDDDD" w:val="clear"/>
          </w:tcPr>
          <w:p>
            <w:r>
              <w:rPr>
                <w:b/>
                <w:bCs/>
              </w:rPr>
              <w:t xml:space="preserve">% of Market Cap</w:t>
            </w:r>
          </w:p>
        </w:tc>
        <w:tc>
          <w:tcPr>
            <w:tcW w:type="dxa" w:w="1600"/>
            <w:shd w:fill="DDDDDD" w:val="clear"/>
          </w:tcPr>
          <w:p>
            <w:r>
              <w:rPr>
                <w:b/>
                <w:bCs/>
              </w:rPr>
              <w:t xml:space="preserve">Urgency</w:t>
            </w:r>
          </w:p>
        </w:tc>
      </w:tr>
      <w:tr>
        <w:tc>
          <w:tcPr>
            <w:tcW w:type="dxa" w:w="1400"/>
          </w:tcPr>
          <w:p>
            <w:r>
              <w:rPr>
                <w:b w:val="false"/>
                <w:bCs w:val="false"/>
              </w:rPr>
              <w:t xml:space="preserve">OPTU</w:t>
            </w:r>
          </w:p>
        </w:tc>
        <w:tc>
          <w:tcPr>
            <w:tcW w:type="dxa" w:w="2100"/>
          </w:tcPr>
          <w:p>
            <w:r>
              <w:rPr>
                <w:b w:val="false"/>
                <w:bCs w:val="false"/>
              </w:rPr>
              <w:t xml:space="preserve">$464.7M</w:t>
            </w:r>
          </w:p>
        </w:tc>
        <w:tc>
          <w:tcPr>
            <w:tcW w:type="dxa" w:w="2100"/>
          </w:tcPr>
          <w:p>
            <w:r>
              <w:rPr>
                <w:b w:val="false"/>
                <w:bCs w:val="false"/>
              </w:rPr>
              <w:t xml:space="preserve">$186.0M</w:t>
            </w:r>
          </w:p>
        </w:tc>
        <w:tc>
          <w:tcPr>
            <w:tcW w:type="dxa" w:w="2300"/>
          </w:tcPr>
          <w:p>
            <w:r>
              <w:rPr>
                <w:b w:val="false"/>
                <w:bCs w:val="false"/>
              </w:rPr>
              <w:t xml:space="preserve">40.0%</w:t>
            </w:r>
          </w:p>
        </w:tc>
        <w:tc>
          <w:tcPr>
            <w:tcW w:type="dxa" w:w="1600"/>
          </w:tcPr>
          <w:p>
            <w:r>
              <w:rPr>
                <w:b w:val="false"/>
                <w:bCs w:val="false"/>
              </w:rPr>
              <w:t xml:space="preserve">High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2026-08-31T16:00:43.242Z</dcterms:created>
  <dcterms:modified xsi:type="dcterms:W3CDTF">2026-08-31T16:00:43.242Z</dcterms:modified>
</cp:coreProperties>
</file>

<file path=docProps/custom.xml><?xml version="1.0" encoding="utf-8"?>
<Properties xmlns="http://schemas.openxmlformats.org/officeDocument/2006/custom-properties" xmlns:vt="http://schemas.openxmlformats.org/officeDocument/2006/docPropsVTypes"/>
</file>