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7549DF" w:rsidR="005045E7" w:rsidP="005045E7" w:rsidRDefault="005045E7" w14:paraId="70DFAC87" w14:textId="77777777">
      <w:pPr>
        <w:jc w:val="center"/>
      </w:pPr>
      <w:r w:rsidRPr="007549DF">
        <w:t>UNIVERSIDAD SERGIO ARBOLEDA</w:t>
      </w:r>
    </w:p>
    <w:p w:rsidRPr="007549DF" w:rsidR="005045E7" w:rsidP="005045E7" w:rsidRDefault="005045E7" w14:paraId="4FEAB1DA" w14:textId="77777777">
      <w:pPr>
        <w:jc w:val="center"/>
      </w:pPr>
      <w:r w:rsidRPr="007549DF">
        <w:t>SISTEMAS EMBEBIDOS</w:t>
      </w:r>
    </w:p>
    <w:p w:rsidRPr="007549DF" w:rsidR="005045E7" w:rsidP="005045E7" w:rsidRDefault="005045E7" w14:paraId="79B5C6F1" w14:textId="77777777">
      <w:pPr>
        <w:jc w:val="center"/>
      </w:pPr>
      <w:r w:rsidRPr="007549DF">
        <w:t>INGENIERÍA ELECTRÓNICA</w:t>
      </w:r>
    </w:p>
    <w:p w:rsidRPr="007549DF" w:rsidR="005045E7" w:rsidP="005045E7" w:rsidRDefault="005045E7" w14:paraId="4D9E0815" w14:textId="77777777">
      <w:pPr>
        <w:jc w:val="center"/>
      </w:pPr>
      <w:r w:rsidRPr="007549DF">
        <w:t xml:space="preserve">WENDY JOHANNA CHAPARRO – CRISTOPHER RAMÍREZ </w:t>
      </w:r>
      <w:proofErr w:type="spellStart"/>
      <w:r w:rsidRPr="007549DF">
        <w:t>RAMÍREZ</w:t>
      </w:r>
      <w:proofErr w:type="spellEnd"/>
    </w:p>
    <w:p w:rsidRPr="007549DF" w:rsidR="005045E7" w:rsidP="005045E7" w:rsidRDefault="005045E7" w14:paraId="42A8E346" w14:textId="108F8989">
      <w:pPr>
        <w:jc w:val="center"/>
      </w:pPr>
      <w:r w:rsidRPr="007549DF">
        <w:t>INFORME DE LABORATORIO #</w:t>
      </w:r>
      <w:r w:rsidR="00A11213">
        <w:t>5</w:t>
      </w:r>
    </w:p>
    <w:p w:rsidR="005045E7" w:rsidP="005045E7" w:rsidRDefault="005045E7" w14:paraId="6423BF82" w14:textId="77777777"/>
    <w:p w:rsidRPr="007549DF" w:rsidR="002E4F17" w:rsidP="507F8AEE" w:rsidRDefault="002E4F17" w14:paraId="7E5E97B5" w14:textId="77777777">
      <w:pPr>
        <w:jc w:val="both"/>
      </w:pPr>
    </w:p>
    <w:p w:rsidRPr="00890E56" w:rsidR="00890E56" w:rsidP="507F8AEE" w:rsidRDefault="00890E56" w14:paraId="7BAD4A95" w14:textId="5CDE697A">
      <w:pPr>
        <w:jc w:val="both"/>
      </w:pPr>
      <w:r>
        <w:t xml:space="preserve">En este laboratorio se diseñó e implementó un protocolo de transmisión con el objetivo de enviar los datos de las RPM (revoluciones por minuto) </w:t>
      </w:r>
      <w:r w:rsidR="0037307F">
        <w:t>para su</w:t>
      </w:r>
      <w:r>
        <w:t xml:space="preserve"> visualización gráfica</w:t>
      </w:r>
      <w:r w:rsidR="00602FD7">
        <w:t xml:space="preserve"> a través de </w:t>
      </w:r>
      <w:proofErr w:type="spellStart"/>
      <w:r w:rsidR="00602FD7">
        <w:t>python</w:t>
      </w:r>
      <w:proofErr w:type="spellEnd"/>
      <w:r>
        <w:t xml:space="preserve">. </w:t>
      </w:r>
      <w:r w:rsidR="52A386C3">
        <w:t>Para esta tarea, se utilizó la placa de desarrollo STM32F411 y el entorno de desarrollo STM32CubeIDE, herramientas que permitieron la configuración, envío y recepción de los datos con este protocolo personalizado.</w:t>
      </w:r>
    </w:p>
    <w:p w:rsidR="00890E56" w:rsidP="507F8AEE" w:rsidRDefault="52A386C3" w14:paraId="7501593E" w14:textId="191CE64B">
      <w:pPr>
        <w:jc w:val="both"/>
      </w:pPr>
      <w:r>
        <w:t>En este proceso se busca cómo implementar protocolos de comunicación en sistemas embebidos, muy utilizados para aplicaciones más avanzadas en el control y monitoreo de sistemas mecánicos y electrónicos.</w:t>
      </w:r>
    </w:p>
    <w:p w:rsidRPr="007549DF" w:rsidR="00547B00" w:rsidP="507F8AEE" w:rsidRDefault="00547B00" w14:paraId="74CF79A3" w14:textId="06518F4E">
      <w:pPr>
        <w:jc w:val="both"/>
      </w:pPr>
    </w:p>
    <w:p w:rsidRPr="007549DF" w:rsidR="005045E7" w:rsidP="507F8AEE" w:rsidRDefault="00547B00" w14:paraId="792B7300" w14:textId="06797737">
      <w:pPr>
        <w:jc w:val="both"/>
        <w:rPr>
          <w:b/>
          <w:bCs/>
        </w:rPr>
      </w:pPr>
      <w:r w:rsidRPr="507F8AEE">
        <w:rPr>
          <w:b/>
          <w:bCs/>
        </w:rPr>
        <w:t xml:space="preserve">SENSORES Y </w:t>
      </w:r>
      <w:r w:rsidRPr="507F8AEE" w:rsidR="00BD5CDD">
        <w:rPr>
          <w:b/>
          <w:bCs/>
        </w:rPr>
        <w:t>MODULOS</w:t>
      </w:r>
      <w:r w:rsidRPr="507F8AEE" w:rsidR="005045E7">
        <w:rPr>
          <w:b/>
          <w:bCs/>
        </w:rPr>
        <w:t xml:space="preserve"> IMPLEMENTAD</w:t>
      </w:r>
      <w:r w:rsidRPr="507F8AEE" w:rsidR="00BD5CDD">
        <w:rPr>
          <w:b/>
          <w:bCs/>
        </w:rPr>
        <w:t>O</w:t>
      </w:r>
      <w:r w:rsidRPr="507F8AEE" w:rsidR="005045E7">
        <w:rPr>
          <w:b/>
          <w:bCs/>
        </w:rPr>
        <w:t>S:</w:t>
      </w:r>
    </w:p>
    <w:p w:rsidR="00BD5CDD" w:rsidP="507F8AEE" w:rsidRDefault="00BD5CDD" w14:paraId="18C4D5A9" w14:textId="7ECC9572">
      <w:pPr>
        <w:pStyle w:val="Prrafodelista"/>
        <w:numPr>
          <w:ilvl w:val="0"/>
          <w:numId w:val="4"/>
        </w:numPr>
        <w:jc w:val="both"/>
      </w:pPr>
      <w:r w:rsidRPr="507F8AEE">
        <w:rPr>
          <w:b/>
          <w:bCs/>
        </w:rPr>
        <w:t>Sensor infrarrojo de herradura</w:t>
      </w:r>
      <w:r w:rsidRPr="507F8AEE" w:rsidR="0048755E">
        <w:rPr>
          <w:b/>
          <w:bCs/>
        </w:rPr>
        <w:t xml:space="preserve"> KLH512</w:t>
      </w:r>
      <w:r w:rsidRPr="507F8AEE">
        <w:rPr>
          <w:b/>
          <w:bCs/>
        </w:rPr>
        <w:t>:</w:t>
      </w:r>
      <w:r w:rsidRPr="507F8AEE" w:rsidR="001056DE">
        <w:rPr>
          <w:b/>
          <w:bCs/>
        </w:rPr>
        <w:t xml:space="preserve"> </w:t>
      </w:r>
      <w:r w:rsidR="007A4C1B">
        <w:t>El sensor de herradura KLH512 es u</w:t>
      </w:r>
      <w:r w:rsidR="001056DE">
        <w:t xml:space="preserve">n sensor fotoeléctrico </w:t>
      </w:r>
      <w:r w:rsidR="007A4C1B">
        <w:t xml:space="preserve">que </w:t>
      </w:r>
      <w:r w:rsidR="001056DE">
        <w:t>responde al cambio en la intensidad de la luz. Estos sensores requieren de un componente emisor que genera la luz, y un componente receptor que percibe la luz generada por el emisor. Están diseñados especialmente para la detección, clasificación y posicionado de objetos; la detección de formas, colores y diferencias de superficie, incluso bajo condiciones ambientales extremas. Los sensores de luz se usan para detectar el nivel de luz y producir una señal de salida representativa respecto a la cantidad de luz detectada.</w:t>
      </w:r>
      <w:r w:rsidR="00FE60DE">
        <w:t xml:space="preserve"> [1]</w:t>
      </w:r>
    </w:p>
    <w:p w:rsidRPr="007177E0" w:rsidR="007177E0" w:rsidP="507F8AEE" w:rsidRDefault="007177E0" w14:paraId="31F72485" w14:textId="77777777">
      <w:pPr>
        <w:pStyle w:val="Prrafodelista"/>
        <w:jc w:val="both"/>
      </w:pPr>
    </w:p>
    <w:p w:rsidR="009D714C" w:rsidP="507F8AEE" w:rsidRDefault="007549DF" w14:paraId="31CCFE2E" w14:textId="7FB4D2DE">
      <w:pPr>
        <w:pStyle w:val="Prrafodelista"/>
        <w:numPr>
          <w:ilvl w:val="0"/>
          <w:numId w:val="4"/>
        </w:numPr>
        <w:jc w:val="both"/>
      </w:pPr>
      <w:r w:rsidRPr="507F8AEE">
        <w:rPr>
          <w:b/>
          <w:bCs/>
        </w:rPr>
        <w:t>Modulo puente H</w:t>
      </w:r>
      <w:r w:rsidRPr="507F8AEE" w:rsidR="009A4433">
        <w:rPr>
          <w:b/>
          <w:bCs/>
        </w:rPr>
        <w:t xml:space="preserve"> TB6612FNG</w:t>
      </w:r>
      <w:r w:rsidRPr="507F8AEE">
        <w:rPr>
          <w:b/>
          <w:bCs/>
        </w:rPr>
        <w:t xml:space="preserve">: </w:t>
      </w:r>
      <w:r w:rsidR="00125F8A">
        <w:t xml:space="preserve">Es una pequeña placa integrada por un circuito integrado TB6612FNG que permite tener la manipulación de motores de </w:t>
      </w:r>
      <w:r w:rsidR="009A4433">
        <w:t>DC</w:t>
      </w:r>
      <w:r w:rsidR="00125F8A">
        <w:t>.</w:t>
      </w:r>
      <w:r w:rsidR="009A4433">
        <w:t xml:space="preserve"> </w:t>
      </w:r>
      <w:r w:rsidR="00125F8A">
        <w:t xml:space="preserve">El controlador TB6612FNG es un driver de motores que puede controlar hasta dos motores DC a una corriente constante de 1.2 </w:t>
      </w:r>
      <w:proofErr w:type="spellStart"/>
      <w:proofErr w:type="gramStart"/>
      <w:r w:rsidR="00125F8A">
        <w:t>Amp</w:t>
      </w:r>
      <w:proofErr w:type="spellEnd"/>
      <w:r w:rsidR="00125F8A">
        <w:t xml:space="preserve"> .</w:t>
      </w:r>
      <w:proofErr w:type="gramEnd"/>
      <w:r w:rsidR="00125F8A">
        <w:t xml:space="preserve">  </w:t>
      </w:r>
      <w:r w:rsidR="483FB1D5">
        <w:t>Las dos salidas de motor (A y B) pueden controlarse por separado, la velocidad de cada motor se controla con una señal de entrada PWM de hasta 100 kHz.</w:t>
      </w:r>
      <w:r w:rsidR="00FA1316">
        <w:t xml:space="preserve"> </w:t>
      </w:r>
      <w:r w:rsidR="00125F8A">
        <w:t xml:space="preserve">Este controlador integra en su placa dos señales de entradas IN1 y IN2, que se utilizan para controlar el </w:t>
      </w:r>
      <w:r w:rsidR="00644E60">
        <w:t>motor en</w:t>
      </w:r>
      <w:r w:rsidR="00125F8A">
        <w:t xml:space="preserve"> uno de los cuatro modos, como CW, CCW, corto freno</w:t>
      </w:r>
      <w:r w:rsidR="00FA1316">
        <w:t xml:space="preserve"> </w:t>
      </w:r>
      <w:r w:rsidR="00125F8A">
        <w:t>y modo de parada.</w:t>
      </w:r>
      <w:r w:rsidR="00FA1316">
        <w:t xml:space="preserve"> [2]</w:t>
      </w:r>
    </w:p>
    <w:p w:rsidR="00EF053E" w:rsidP="507F8AEE" w:rsidRDefault="00EF053E" w14:paraId="53BEDA47" w14:textId="5A598BD3">
      <w:pPr>
        <w:jc w:val="both"/>
      </w:pPr>
    </w:p>
    <w:p w:rsidR="000918D2" w:rsidP="507F8AEE" w:rsidRDefault="000918D2" w14:paraId="598C6426" w14:textId="77777777" w14:noSpellErr="1">
      <w:pPr>
        <w:jc w:val="both"/>
      </w:pPr>
    </w:p>
    <w:p w:rsidR="721263D4" w:rsidP="721263D4" w:rsidRDefault="721263D4" w14:paraId="7410A482" w14:textId="1C196D1A">
      <w:pPr>
        <w:jc w:val="both"/>
      </w:pPr>
    </w:p>
    <w:p w:rsidR="000918D2" w:rsidP="507F8AEE" w:rsidRDefault="000918D2" w14:paraId="46108665" w14:textId="77777777">
      <w:pPr>
        <w:jc w:val="both"/>
      </w:pPr>
    </w:p>
    <w:p w:rsidR="003962F3" w:rsidP="721263D4" w:rsidRDefault="003962F3" w14:paraId="59292E4D" w14:textId="6B2EB0BF">
      <w:pPr>
        <w:jc w:val="both"/>
        <w:rPr>
          <w:b w:val="1"/>
          <w:bCs w:val="1"/>
        </w:rPr>
      </w:pPr>
      <w:r w:rsidRPr="721263D4" w:rsidR="000918D2">
        <w:rPr>
          <w:b w:val="1"/>
          <w:bCs w:val="1"/>
        </w:rPr>
        <w:t>LIBRERÍAS</w:t>
      </w:r>
      <w:r w:rsidRPr="721263D4" w:rsidR="000918D2">
        <w:rPr>
          <w:b w:val="1"/>
          <w:bCs w:val="1"/>
        </w:rPr>
        <w:t xml:space="preserve"> IMPLEMENTAD</w:t>
      </w:r>
      <w:r w:rsidRPr="721263D4" w:rsidR="000918D2">
        <w:rPr>
          <w:b w:val="1"/>
          <w:bCs w:val="1"/>
        </w:rPr>
        <w:t>A</w:t>
      </w:r>
      <w:r w:rsidRPr="721263D4" w:rsidR="000918D2">
        <w:rPr>
          <w:b w:val="1"/>
          <w:bCs w:val="1"/>
        </w:rPr>
        <w:t>S:</w:t>
      </w:r>
    </w:p>
    <w:p w:rsidRPr="009E1E50" w:rsidR="000918D2" w:rsidP="000918D2" w:rsidRDefault="000918D2" w14:paraId="16B7DBDF" w14:textId="77777777">
      <w:pPr>
        <w:pStyle w:val="Prrafodelista"/>
        <w:numPr>
          <w:ilvl w:val="0"/>
          <w:numId w:val="9"/>
        </w:numPr>
        <w:jc w:val="both"/>
        <w:rPr>
          <w:b/>
          <w:bCs/>
        </w:rPr>
      </w:pPr>
      <w:proofErr w:type="spellStart"/>
      <w:r w:rsidRPr="2F95BCEB">
        <w:rPr>
          <w:b/>
          <w:bCs/>
        </w:rPr>
        <w:t>usb</w:t>
      </w:r>
      <w:r w:rsidRPr="009E1E50">
        <w:rPr>
          <w:b/>
          <w:bCs/>
        </w:rPr>
        <w:t>_device.h</w:t>
      </w:r>
      <w:proofErr w:type="spellEnd"/>
    </w:p>
    <w:p w:rsidR="000918D2" w:rsidP="000918D2" w:rsidRDefault="000918D2" w14:paraId="267AAF10" w14:textId="77777777">
      <w:pPr>
        <w:jc w:val="both"/>
      </w:pPr>
      <w:r>
        <w:t xml:space="preserve">Esta librería es la interfaz general para la configuración y gestión del dispositivo USB en la placa STM32. Se genera automáticamente cuando se habilita el dispositivo USB en STM32CubeIDE. </w:t>
      </w:r>
    </w:p>
    <w:p w:rsidR="000918D2" w:rsidP="000918D2" w:rsidRDefault="000918D2" w14:paraId="4B9AC35E" w14:textId="77777777">
      <w:pPr>
        <w:pStyle w:val="Prrafodelista"/>
        <w:numPr>
          <w:ilvl w:val="0"/>
          <w:numId w:val="8"/>
        </w:numPr>
        <w:jc w:val="both"/>
      </w:pPr>
      <w:r w:rsidRPr="0063143F">
        <w:rPr>
          <w:b/>
          <w:bCs/>
        </w:rPr>
        <w:t>Inicialización del USB:</w:t>
      </w:r>
      <w:r>
        <w:t xml:space="preserve"> Proporciona las funciones necesarias para inicializar la pila USB (USB </w:t>
      </w:r>
      <w:proofErr w:type="spellStart"/>
      <w:r>
        <w:t>stack</w:t>
      </w:r>
      <w:proofErr w:type="spellEnd"/>
      <w:r>
        <w:t>), que se encarga de gestionar la comunicación USB entre el microcontrolador y el host (por ejemplo, una PC).</w:t>
      </w:r>
    </w:p>
    <w:p w:rsidR="000918D2" w:rsidP="000918D2" w:rsidRDefault="000918D2" w14:paraId="0B45BCBA" w14:textId="77777777">
      <w:pPr>
        <w:pStyle w:val="Prrafodelista"/>
        <w:numPr>
          <w:ilvl w:val="0"/>
          <w:numId w:val="8"/>
        </w:numPr>
        <w:jc w:val="both"/>
      </w:pPr>
      <w:r w:rsidRPr="0063143F">
        <w:rPr>
          <w:b/>
          <w:bCs/>
        </w:rPr>
        <w:t>Configuración de periféricos USB:</w:t>
      </w:r>
      <w:r>
        <w:t xml:space="preserve"> Esta biblioteca gestiona la configuración de los </w:t>
      </w:r>
      <w:proofErr w:type="spellStart"/>
      <w:r>
        <w:t>endpoints</w:t>
      </w:r>
      <w:proofErr w:type="spellEnd"/>
      <w:r>
        <w:t>, el tipo de dispositivo (como HID, CDC, MSC), y otros parámetros necesarios para el funcionamiento USB.</w:t>
      </w:r>
    </w:p>
    <w:p w:rsidR="000918D2" w:rsidP="000918D2" w:rsidRDefault="000918D2" w14:paraId="0D65DB4E" w14:textId="77777777">
      <w:pPr>
        <w:pStyle w:val="Prrafodelista"/>
        <w:numPr>
          <w:ilvl w:val="0"/>
          <w:numId w:val="8"/>
        </w:numPr>
        <w:jc w:val="both"/>
      </w:pPr>
      <w:r w:rsidRPr="0063143F">
        <w:rPr>
          <w:b/>
          <w:bCs/>
        </w:rPr>
        <w:t>Eventos y manejo de interrupciones:</w:t>
      </w:r>
      <w:r>
        <w:t xml:space="preserve"> Gestiona los eventos del USB, como la conexión y desconexión, o los paquetes de datos recibidos.</w:t>
      </w:r>
    </w:p>
    <w:p w:rsidR="003962F3" w:rsidP="721263D4" w:rsidRDefault="003962F3" w14:paraId="786FA833" w14:noSpellErr="1" w14:textId="470189F9">
      <w:pPr>
        <w:pStyle w:val="Normal"/>
        <w:jc w:val="both"/>
      </w:pPr>
    </w:p>
    <w:p w:rsidR="000918D2" w:rsidP="000918D2" w:rsidRDefault="000918D2" w14:paraId="2CAFDAC4" w14:textId="77777777">
      <w:pPr>
        <w:pStyle w:val="Prrafodelista"/>
        <w:numPr>
          <w:ilvl w:val="0"/>
          <w:numId w:val="9"/>
        </w:numPr>
        <w:jc w:val="both"/>
        <w:rPr>
          <w:b/>
        </w:rPr>
      </w:pPr>
      <w:proofErr w:type="spellStart"/>
      <w:r w:rsidRPr="5F480E7B">
        <w:rPr>
          <w:b/>
          <w:bCs/>
        </w:rPr>
        <w:t>usbd</w:t>
      </w:r>
      <w:r w:rsidRPr="0029731E">
        <w:rPr>
          <w:b/>
          <w:bCs/>
        </w:rPr>
        <w:t>_cdc_if.h</w:t>
      </w:r>
      <w:proofErr w:type="spellEnd"/>
    </w:p>
    <w:p w:rsidR="000918D2" w:rsidP="000918D2" w:rsidRDefault="000918D2" w14:paraId="71684CB2" w14:textId="77777777">
      <w:pPr>
        <w:jc w:val="both"/>
      </w:pPr>
      <w:r>
        <w:t>Esta librería está relacionada con el uso del USB en modo CDC (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Class</w:t>
      </w:r>
      <w:proofErr w:type="spellEnd"/>
      <w:r>
        <w:t>), un protocolo que permite que el dispositivo STM32 actúe como una interfaz de comunicación serial (similar a un puerto COM virtual en la computadora).</w:t>
      </w:r>
    </w:p>
    <w:p w:rsidR="000918D2" w:rsidP="000918D2" w:rsidRDefault="000918D2" w14:paraId="49532B0B" w14:textId="77777777">
      <w:pPr>
        <w:pStyle w:val="Prrafodelista"/>
        <w:numPr>
          <w:ilvl w:val="0"/>
          <w:numId w:val="10"/>
        </w:numPr>
        <w:jc w:val="both"/>
      </w:pPr>
      <w:r w:rsidRPr="00BA164A">
        <w:rPr>
          <w:b/>
          <w:bCs/>
        </w:rPr>
        <w:t>CDC (</w:t>
      </w:r>
      <w:proofErr w:type="spellStart"/>
      <w:r w:rsidRPr="00BA164A">
        <w:rPr>
          <w:b/>
          <w:bCs/>
        </w:rPr>
        <w:t>Class</w:t>
      </w:r>
      <w:proofErr w:type="spellEnd"/>
      <w:r w:rsidRPr="00BA164A">
        <w:rPr>
          <w:b/>
          <w:bCs/>
        </w:rPr>
        <w:t xml:space="preserve"> </w:t>
      </w:r>
      <w:proofErr w:type="spellStart"/>
      <w:r w:rsidRPr="00BA164A">
        <w:rPr>
          <w:b/>
          <w:bCs/>
        </w:rPr>
        <w:t>Device</w:t>
      </w:r>
      <w:proofErr w:type="spellEnd"/>
      <w:r w:rsidRPr="00BA164A">
        <w:rPr>
          <w:b/>
          <w:bCs/>
        </w:rPr>
        <w:t xml:space="preserve"> </w:t>
      </w:r>
      <w:proofErr w:type="spellStart"/>
      <w:r w:rsidRPr="00BA164A">
        <w:rPr>
          <w:b/>
          <w:bCs/>
        </w:rPr>
        <w:t>Class</w:t>
      </w:r>
      <w:proofErr w:type="spellEnd"/>
      <w:r w:rsidRPr="00BA164A">
        <w:rPr>
          <w:b/>
          <w:bCs/>
        </w:rPr>
        <w:t>):</w:t>
      </w:r>
      <w:r>
        <w:t xml:space="preserve"> Permite que el microcontrolador emule un puerto serial sobre USB, lo que facilita la transmisión y recepción de datos como si fuera una comunicación UART.</w:t>
      </w:r>
    </w:p>
    <w:p w:rsidR="000918D2" w:rsidP="000918D2" w:rsidRDefault="000918D2" w14:paraId="16A731DF" w14:textId="77777777">
      <w:pPr>
        <w:pStyle w:val="Prrafodelista"/>
        <w:numPr>
          <w:ilvl w:val="0"/>
          <w:numId w:val="10"/>
        </w:numPr>
        <w:jc w:val="both"/>
      </w:pPr>
      <w:r w:rsidRPr="00BA164A">
        <w:rPr>
          <w:b/>
          <w:bCs/>
        </w:rPr>
        <w:t>Interfaz de funciones:</w:t>
      </w:r>
      <w:r>
        <w:t xml:space="preserve"> Esta biblioteca ofrece funciones específicas para enviar y recibir datos a través del USB en modo CDC, como </w:t>
      </w:r>
      <w:proofErr w:type="spellStart"/>
      <w:r>
        <w:t>CDC_Transmit_FS</w:t>
      </w:r>
      <w:proofErr w:type="spellEnd"/>
      <w:r>
        <w:t>, que permite transmitir datos desde el STM32 hacia el host (PC) a través del puerto USB.</w:t>
      </w:r>
    </w:p>
    <w:p w:rsidR="000918D2" w:rsidP="000918D2" w:rsidRDefault="000918D2" w14:paraId="2730E891" w14:textId="77777777">
      <w:pPr>
        <w:pStyle w:val="Prrafodelista"/>
        <w:numPr>
          <w:ilvl w:val="0"/>
          <w:numId w:val="10"/>
        </w:numPr>
        <w:jc w:val="both"/>
      </w:pPr>
      <w:proofErr w:type="spellStart"/>
      <w:r w:rsidRPr="00BA164A">
        <w:rPr>
          <w:b/>
          <w:bCs/>
        </w:rPr>
        <w:t>Callback</w:t>
      </w:r>
      <w:proofErr w:type="spellEnd"/>
      <w:r w:rsidRPr="00BA164A">
        <w:rPr>
          <w:b/>
          <w:bCs/>
        </w:rPr>
        <w:t xml:space="preserve"> </w:t>
      </w:r>
      <w:proofErr w:type="spellStart"/>
      <w:r w:rsidRPr="00BA164A">
        <w:rPr>
          <w:b/>
          <w:bCs/>
        </w:rPr>
        <w:t>functions</w:t>
      </w:r>
      <w:proofErr w:type="spellEnd"/>
      <w:r w:rsidRPr="00BA164A">
        <w:rPr>
          <w:b/>
          <w:bCs/>
        </w:rPr>
        <w:t>:</w:t>
      </w:r>
      <w:r>
        <w:t xml:space="preserve"> Proporciona puntos de anclaje para gestionar eventos de comunicación, como la recepción de datos a través del USB (</w:t>
      </w:r>
      <w:proofErr w:type="spellStart"/>
      <w:r>
        <w:t>CDC_Receive_FS</w:t>
      </w:r>
      <w:proofErr w:type="spellEnd"/>
      <w:r>
        <w:t>), lo que facilita la integración de la pila USB con la lógica de la aplicación.</w:t>
      </w:r>
    </w:p>
    <w:p w:rsidR="000918D2" w:rsidP="507F8AEE" w:rsidRDefault="000918D2" w14:paraId="4933D0C1" w14:textId="77777777">
      <w:pPr>
        <w:jc w:val="both"/>
      </w:pPr>
    </w:p>
    <w:p w:rsidR="003962F3" w:rsidP="721263D4" w:rsidRDefault="002E4F17" w14:paraId="3C31DB35" w14:textId="2B0214D6">
      <w:pPr>
        <w:pStyle w:val="Normal"/>
        <w:jc w:val="both"/>
      </w:pPr>
      <w:r w:rsidR="002E4F17">
        <w:rPr/>
        <w:t>El protocolo</w:t>
      </w:r>
      <w:r w:rsidR="4422C8BA">
        <w:rPr/>
        <w:t xml:space="preserve"> </w:t>
      </w:r>
      <w:r w:rsidR="00EF053E">
        <w:rPr/>
        <w:t xml:space="preserve">de comunicación ha sido diseñado para </w:t>
      </w:r>
      <w:r w:rsidR="24528AB4">
        <w:rPr/>
        <w:t>enviar </w:t>
      </w:r>
      <w:r w:rsidR="222AB413">
        <w:rPr/>
        <w:t xml:space="preserve"> </w:t>
      </w:r>
      <w:r w:rsidR="24528AB4">
        <w:rPr/>
        <w:t>datos</w:t>
      </w:r>
      <w:r w:rsidR="00EF053E">
        <w:rPr/>
        <w:t xml:space="preserve"> relacionados con las RPM (revoluciones por minuto) y el tiempo de respuesta en la que el motor se demora en llegar a las revoluciones máximas. El protocolo sigue un formato estructurado y secuencial para garantizar la recepción de la información durante la transmisión.</w:t>
      </w:r>
    </w:p>
    <w:p w:rsidRPr="00EF053E" w:rsidR="00EF053E" w:rsidP="507F8AEE" w:rsidRDefault="00EF053E" w14:paraId="3F9BCDC7" w14:textId="00E3BF63">
      <w:pPr>
        <w:jc w:val="both"/>
      </w:pPr>
      <w:r>
        <w:t>El proceso de comunicación comienza con el envío de un byte de inicio, cuyo valor es 0xF, que indica el comienzo de un nuevo paquete de datos. A continuación, se envía el tamaño total del paquete en 2 bytes, permitiendo así una mayor flexibilidad en la cantidad de datos que se pueden transmitir.</w:t>
      </w:r>
    </w:p>
    <w:p w:rsidRPr="00EF053E" w:rsidR="00EF053E" w:rsidP="507F8AEE" w:rsidRDefault="00EF053E" w14:paraId="57322FEC" w14:textId="779D6941">
      <w:pPr>
        <w:jc w:val="both"/>
      </w:pPr>
      <w:r w:rsidR="00EF053E">
        <w:rPr/>
        <w:t xml:space="preserve">Los datos clave de la transmisión son las RPM y el tiempo de respuesta, que se envían inmediatamente después del tamaño. Para asegurar que los datos lleguen de manera correcta y sin errores, se incorpora un byte de verificación o </w:t>
      </w:r>
      <w:r w:rsidRPr="721263D4" w:rsidR="00EF053E">
        <w:rPr>
          <w:i w:val="1"/>
          <w:iCs w:val="1"/>
        </w:rPr>
        <w:t>checksum</w:t>
      </w:r>
      <w:r w:rsidR="00EF053E">
        <w:rPr/>
        <w:t xml:space="preserve">. </w:t>
      </w:r>
      <w:r w:rsidR="63FC5D1C">
        <w:rPr/>
        <w:t>Este byte se calcula a partir de los valores de los bytes enviados con una suma, permitiendo verificar los datos en la recepción.</w:t>
      </w:r>
    </w:p>
    <w:p w:rsidRPr="00EF053E" w:rsidR="00EF053E" w:rsidP="507F8AEE" w:rsidRDefault="00EF053E" w14:paraId="3B654867" w14:textId="77777777">
      <w:pPr>
        <w:jc w:val="both"/>
      </w:pPr>
      <w:r>
        <w:t>Finalmente, el protocolo se cierra con el envío de un byte de finalización, cuyo valor también es 0xF, señalando la conclusión de la transmisión.</w:t>
      </w:r>
    </w:p>
    <w:p w:rsidRPr="00EF053E" w:rsidR="00EF053E" w:rsidP="507F8AEE" w:rsidRDefault="00EF053E" w14:paraId="37975ED3" w14:textId="77777777">
      <w:pPr>
        <w:jc w:val="both"/>
      </w:pPr>
      <w:r w:rsidRPr="507F8AEE">
        <w:rPr>
          <w:b/>
          <w:bCs/>
        </w:rPr>
        <w:t>Estructura del Protocolo</w:t>
      </w:r>
      <w:r>
        <w:t>:</w:t>
      </w:r>
    </w:p>
    <w:p w:rsidRPr="00EF053E" w:rsidR="00EF053E" w:rsidP="507F8AEE" w:rsidRDefault="00EF053E" w14:paraId="451DA276" w14:textId="77777777">
      <w:pPr>
        <w:numPr>
          <w:ilvl w:val="0"/>
          <w:numId w:val="6"/>
        </w:numPr>
        <w:jc w:val="both"/>
      </w:pPr>
      <w:r w:rsidRPr="507F8AEE">
        <w:rPr>
          <w:b/>
          <w:bCs/>
        </w:rPr>
        <w:t>Byte de inicio</w:t>
      </w:r>
      <w:r>
        <w:t>: Valor fijo 0xF.</w:t>
      </w:r>
    </w:p>
    <w:p w:rsidRPr="00EF053E" w:rsidR="00EF053E" w:rsidP="507F8AEE" w:rsidRDefault="00EF053E" w14:paraId="1CEE7298" w14:textId="77777777">
      <w:pPr>
        <w:numPr>
          <w:ilvl w:val="0"/>
          <w:numId w:val="6"/>
        </w:numPr>
        <w:jc w:val="both"/>
      </w:pPr>
      <w:r w:rsidRPr="507F8AEE">
        <w:rPr>
          <w:b/>
          <w:bCs/>
        </w:rPr>
        <w:t>Tamaño del paquete</w:t>
      </w:r>
      <w:r>
        <w:t>: 2 bytes que indican la longitud de los datos.</w:t>
      </w:r>
    </w:p>
    <w:p w:rsidRPr="00EF053E" w:rsidR="00EF053E" w:rsidP="507F8AEE" w:rsidRDefault="00EF053E" w14:paraId="02AEF003" w14:textId="77777777">
      <w:pPr>
        <w:numPr>
          <w:ilvl w:val="0"/>
          <w:numId w:val="6"/>
        </w:numPr>
        <w:jc w:val="both"/>
      </w:pPr>
      <w:r w:rsidRPr="507F8AEE">
        <w:rPr>
          <w:b/>
          <w:bCs/>
        </w:rPr>
        <w:t>Datos</w:t>
      </w:r>
      <w:r>
        <w:t>: RPM y tiempo de respuesta.</w:t>
      </w:r>
    </w:p>
    <w:p w:rsidRPr="00EF053E" w:rsidR="00EF053E" w:rsidP="507F8AEE" w:rsidRDefault="00EF053E" w14:paraId="0C3A5ED0" w14:textId="77777777">
      <w:pPr>
        <w:numPr>
          <w:ilvl w:val="0"/>
          <w:numId w:val="6"/>
        </w:numPr>
        <w:jc w:val="both"/>
      </w:pPr>
      <w:proofErr w:type="spellStart"/>
      <w:r w:rsidRPr="507F8AEE">
        <w:rPr>
          <w:b/>
          <w:bCs/>
        </w:rPr>
        <w:t>Checksum</w:t>
      </w:r>
      <w:proofErr w:type="spellEnd"/>
      <w:r>
        <w:t>: 1 byte para validar la integridad del paquete.</w:t>
      </w:r>
    </w:p>
    <w:p w:rsidRPr="00EF053E" w:rsidR="00EF053E" w:rsidP="507F8AEE" w:rsidRDefault="00EF053E" w14:paraId="3653FC20" w14:textId="77777777">
      <w:pPr>
        <w:numPr>
          <w:ilvl w:val="0"/>
          <w:numId w:val="6"/>
        </w:numPr>
        <w:jc w:val="both"/>
      </w:pPr>
      <w:r w:rsidRPr="507F8AEE">
        <w:rPr>
          <w:b/>
          <w:bCs/>
        </w:rPr>
        <w:t>Byte de finalización</w:t>
      </w:r>
      <w:r>
        <w:t>: Valor fijo 0xF.</w:t>
      </w:r>
    </w:p>
    <w:p w:rsidRPr="00EF053E" w:rsidR="00EF053E" w:rsidP="507F8AEE" w:rsidRDefault="00EF053E" w14:paraId="4EFC28B0" w14:textId="77777777">
      <w:pPr>
        <w:jc w:val="both"/>
      </w:pPr>
      <w:proofErr w:type="spellStart"/>
      <w:r w:rsidRPr="507F8AEE">
        <w:rPr>
          <w:b/>
          <w:bCs/>
        </w:rPr>
        <w:t>Overhead</w:t>
      </w:r>
      <w:proofErr w:type="spellEnd"/>
      <w:r w:rsidRPr="507F8AEE">
        <w:rPr>
          <w:b/>
          <w:bCs/>
        </w:rPr>
        <w:t xml:space="preserve"> del Protocolo</w:t>
      </w:r>
      <w:r>
        <w:t xml:space="preserve">: El </w:t>
      </w:r>
      <w:proofErr w:type="spellStart"/>
      <w:r w:rsidRPr="507F8AEE">
        <w:rPr>
          <w:i/>
          <w:iCs/>
        </w:rPr>
        <w:t>overhead</w:t>
      </w:r>
      <w:proofErr w:type="spellEnd"/>
      <w:r>
        <w:t xml:space="preserve"> de este protocolo se refiere a los bytes adicionales que no forman parte de los datos principales (RPM y tiempo de respuesta), pero que son necesarios para garantizar la integridad y sincronización de la comunicación. En este caso, el </w:t>
      </w:r>
      <w:proofErr w:type="spellStart"/>
      <w:r w:rsidRPr="507F8AEE">
        <w:rPr>
          <w:i/>
          <w:iCs/>
        </w:rPr>
        <w:t>overhead</w:t>
      </w:r>
      <w:proofErr w:type="spellEnd"/>
      <w:r>
        <w:t xml:space="preserve"> está compuesto por:</w:t>
      </w:r>
    </w:p>
    <w:p w:rsidRPr="00EF053E" w:rsidR="00EF053E" w:rsidP="507F8AEE" w:rsidRDefault="00EF053E" w14:paraId="3AB1C706" w14:textId="77777777">
      <w:pPr>
        <w:numPr>
          <w:ilvl w:val="0"/>
          <w:numId w:val="7"/>
        </w:numPr>
        <w:jc w:val="both"/>
      </w:pPr>
      <w:r>
        <w:t>1 byte de inicio.</w:t>
      </w:r>
    </w:p>
    <w:p w:rsidRPr="00EF053E" w:rsidR="00EF053E" w:rsidP="507F8AEE" w:rsidRDefault="00EF053E" w14:paraId="512CF7E9" w14:textId="77777777">
      <w:pPr>
        <w:numPr>
          <w:ilvl w:val="0"/>
          <w:numId w:val="7"/>
        </w:numPr>
        <w:jc w:val="both"/>
      </w:pPr>
      <w:r>
        <w:t>2 bytes para el tamaño del paquete.</w:t>
      </w:r>
    </w:p>
    <w:p w:rsidRPr="00EF053E" w:rsidR="00EF053E" w:rsidP="507F8AEE" w:rsidRDefault="00EF053E" w14:paraId="452F9177" w14:textId="77777777">
      <w:pPr>
        <w:numPr>
          <w:ilvl w:val="0"/>
          <w:numId w:val="7"/>
        </w:numPr>
        <w:jc w:val="both"/>
      </w:pPr>
      <w:r>
        <w:t xml:space="preserve">1 byte de </w:t>
      </w:r>
      <w:proofErr w:type="spellStart"/>
      <w:r w:rsidRPr="507F8AEE">
        <w:rPr>
          <w:i/>
          <w:iCs/>
        </w:rPr>
        <w:t>checksum</w:t>
      </w:r>
      <w:proofErr w:type="spellEnd"/>
      <w:r>
        <w:t>.</w:t>
      </w:r>
    </w:p>
    <w:p w:rsidRPr="00EF053E" w:rsidR="00EF053E" w:rsidP="507F8AEE" w:rsidRDefault="00EF053E" w14:paraId="4CEC6AAE" w14:textId="77777777">
      <w:pPr>
        <w:numPr>
          <w:ilvl w:val="0"/>
          <w:numId w:val="7"/>
        </w:numPr>
        <w:jc w:val="both"/>
      </w:pPr>
      <w:r>
        <w:t>1 byte de finalización.</w:t>
      </w:r>
    </w:p>
    <w:p w:rsidR="00E549F8" w:rsidP="507F8AEE" w:rsidRDefault="00EF053E" w14:paraId="0C0EDF77" w14:textId="65185EFD">
      <w:pPr>
        <w:jc w:val="both"/>
      </w:pPr>
      <w:r>
        <w:t xml:space="preserve">En total, el </w:t>
      </w:r>
      <w:proofErr w:type="spellStart"/>
      <w:r w:rsidRPr="507F8AEE">
        <w:rPr>
          <w:i/>
          <w:iCs/>
        </w:rPr>
        <w:t>overhead</w:t>
      </w:r>
      <w:proofErr w:type="spellEnd"/>
      <w:r>
        <w:t xml:space="preserve"> del protocolo es de 5 bytes.</w:t>
      </w:r>
    </w:p>
    <w:p w:rsidRPr="00EF053E" w:rsidR="00E549F8" w:rsidP="507F8AEE" w:rsidRDefault="00E549F8" w14:paraId="4F1323B2" w14:textId="6DA52773">
      <w:pPr>
        <w:jc w:val="both"/>
      </w:pPr>
      <w:r>
        <w:t>Lo datos tran</w:t>
      </w:r>
      <w:r w:rsidR="0011470F">
        <w:t>smitidos fueron enviados en formato</w:t>
      </w:r>
      <w:r w:rsidR="00A2665A">
        <w:t xml:space="preserve"> </w:t>
      </w:r>
      <w:r w:rsidRPr="507F8AEE" w:rsidR="00A2665A">
        <w:rPr>
          <w:b/>
          <w:bCs/>
        </w:rPr>
        <w:t xml:space="preserve">Little </w:t>
      </w:r>
      <w:proofErr w:type="spellStart"/>
      <w:r w:rsidRPr="507F8AEE" w:rsidR="00A2665A">
        <w:rPr>
          <w:b/>
          <w:bCs/>
        </w:rPr>
        <w:t>Endian</w:t>
      </w:r>
      <w:proofErr w:type="spellEnd"/>
      <w:r w:rsidR="00A2665A">
        <w:t xml:space="preserve">, los bytes menos significativos (los que tienen menor peso) se almacenan primero, es decir, en la dirección de memoria más baja. </w:t>
      </w:r>
    </w:p>
    <w:p w:rsidR="003962F3" w:rsidP="721263D4" w:rsidRDefault="003962F3" w14:paraId="1741A93B" w14:noSpellErr="1" w14:textId="2144345C">
      <w:pPr>
        <w:pStyle w:val="Normal"/>
        <w:jc w:val="both"/>
      </w:pPr>
    </w:p>
    <w:p w:rsidR="00D24736" w:rsidP="507F8AEE" w:rsidRDefault="0060281D" w14:paraId="4D0FCAB0" w14:textId="6DDAB687">
      <w:pPr>
        <w:tabs>
          <w:tab w:val="left" w:pos="2840"/>
        </w:tabs>
        <w:jc w:val="both"/>
        <w:rPr>
          <w:b/>
          <w:bCs/>
        </w:rPr>
      </w:pPr>
      <w:r w:rsidRPr="507F8AEE">
        <w:rPr>
          <w:b/>
          <w:bCs/>
        </w:rPr>
        <w:t>RESULTADOS:</w:t>
      </w:r>
      <w:r>
        <w:tab/>
      </w:r>
    </w:p>
    <w:p w:rsidR="0060281D" w:rsidP="000918D2" w:rsidRDefault="00EF2F5D" w14:paraId="7D72D723" w14:textId="6A176A24">
      <w:pPr>
        <w:tabs>
          <w:tab w:val="left" w:pos="2840"/>
        </w:tabs>
        <w:jc w:val="center"/>
        <w:rPr>
          <w:b/>
          <w:bCs/>
        </w:rPr>
      </w:pPr>
      <w:r w:rsidR="00EF2F5D">
        <w:drawing>
          <wp:inline wp14:editId="0000D9F4" wp14:anchorId="39A690E5">
            <wp:extent cx="3843823" cy="2880782"/>
            <wp:effectExtent l="0" t="0" r="0" b="0"/>
            <wp:docPr id="1652136880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0bd8331d5af04b9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3823" cy="28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D2" w:rsidP="000918D2" w:rsidRDefault="000918D2" w14:paraId="7319C8AC" w14:textId="77777777">
      <w:pPr>
        <w:tabs>
          <w:tab w:val="left" w:pos="2840"/>
        </w:tabs>
        <w:jc w:val="center"/>
        <w:rPr>
          <w:b/>
          <w:bCs/>
        </w:rPr>
      </w:pPr>
    </w:p>
    <w:p w:rsidR="00EF2F5D" w:rsidP="507F8AEE" w:rsidRDefault="00322F53" w14:paraId="567CD16F" w14:textId="26811C87">
      <w:pPr>
        <w:tabs>
          <w:tab w:val="left" w:pos="2840"/>
        </w:tabs>
        <w:jc w:val="both"/>
        <w:rPr>
          <w:b/>
          <w:bCs/>
        </w:rPr>
      </w:pPr>
      <w:r w:rsidRPr="507F8AEE">
        <w:rPr>
          <w:b/>
          <w:bCs/>
        </w:rPr>
        <w:t>Grafica de RPM en función del tiempo</w:t>
      </w:r>
    </w:p>
    <w:p w:rsidRPr="00EF2F5D" w:rsidR="00EF2F5D" w:rsidP="507F8AEE" w:rsidRDefault="1F263290" w14:paraId="51534F61" w14:textId="09953018">
      <w:pPr>
        <w:tabs>
          <w:tab w:val="left" w:pos="2840"/>
        </w:tabs>
        <w:jc w:val="both"/>
      </w:pPr>
      <w:r>
        <w:t>En la gráfica se obtiene que las revoluciones por minuto máximas tienen un asentamiento en 17 segundos aproximadamente y el tiempo que se demora el motor en responder a la señal de activación es de 2 segundos aproximadamente.</w:t>
      </w:r>
      <w:r w:rsidR="00A17686">
        <w:t xml:space="preserve"> </w:t>
      </w:r>
    </w:p>
    <w:p w:rsidRPr="005E2904" w:rsidR="00322F53" w:rsidP="507F8AEE" w:rsidRDefault="00322F53" w14:paraId="0D389458" w14:textId="413ED135">
      <w:pPr>
        <w:jc w:val="both"/>
      </w:pPr>
    </w:p>
    <w:p w:rsidR="005045E7" w:rsidP="507F8AEE" w:rsidRDefault="005045E7" w14:paraId="59AD1FC3" w14:textId="77777777">
      <w:pPr>
        <w:jc w:val="both"/>
        <w:rPr>
          <w:b/>
          <w:bCs/>
        </w:rPr>
      </w:pPr>
      <w:r w:rsidRPr="507F8AEE">
        <w:rPr>
          <w:b/>
          <w:bCs/>
        </w:rPr>
        <w:t>CONCLUSIONES:</w:t>
      </w:r>
    </w:p>
    <w:p w:rsidR="007E4811" w:rsidP="507F8AEE" w:rsidRDefault="00540FB2" w14:paraId="656C7BF2" w14:textId="04398EFC">
      <w:pPr>
        <w:pStyle w:val="Prrafodelista"/>
        <w:numPr>
          <w:ilvl w:val="0"/>
          <w:numId w:val="5"/>
        </w:numPr>
        <w:jc w:val="both"/>
      </w:pPr>
      <w:r>
        <w:t>Es importante tener presente que los datos de inicio y fin se deben diferenciar ya</w:t>
      </w:r>
      <w:r w:rsidR="007E4811">
        <w:t xml:space="preserve"> que asegura que los paquetes de datos sean reconocidos correctamente por el receptor, minimizando errores y mejorando la eficiencia en la transmisión.</w:t>
      </w:r>
    </w:p>
    <w:p w:rsidR="007E4811" w:rsidP="507F8AEE" w:rsidRDefault="007E4811" w14:paraId="33BA4AEE" w14:textId="77777777">
      <w:pPr>
        <w:pStyle w:val="Prrafodelista"/>
        <w:jc w:val="both"/>
      </w:pPr>
    </w:p>
    <w:p w:rsidR="007E4811" w:rsidP="507F8AEE" w:rsidRDefault="007E4811" w14:paraId="48C2E650" w14:textId="7DD782BA">
      <w:pPr>
        <w:pStyle w:val="Prrafodelista"/>
        <w:numPr>
          <w:ilvl w:val="0"/>
          <w:numId w:val="5"/>
        </w:numPr>
        <w:jc w:val="both"/>
      </w:pPr>
      <w:r>
        <w:t xml:space="preserve">La incorporación de un </w:t>
      </w:r>
      <w:proofErr w:type="spellStart"/>
      <w:r>
        <w:t>checksum</w:t>
      </w:r>
      <w:proofErr w:type="spellEnd"/>
      <w:r>
        <w:t xml:space="preserve"> como mecanismo de validación garantiza que los datos enviados (RPM y tiempo de respuesta) </w:t>
      </w:r>
      <w:r w:rsidR="00B71256">
        <w:t>que lleguen</w:t>
      </w:r>
      <w:r>
        <w:t xml:space="preserve"> al receptor sin alteraciones, ofreciendo un nivel adicional de seguridad y confiabilidad en la transmisión.</w:t>
      </w:r>
    </w:p>
    <w:p w:rsidR="007E4811" w:rsidP="507F8AEE" w:rsidRDefault="007E4811" w14:paraId="780A6DE4" w14:textId="77777777">
      <w:pPr>
        <w:pStyle w:val="Prrafodelista"/>
        <w:jc w:val="both"/>
      </w:pPr>
    </w:p>
    <w:p w:rsidR="007E4811" w:rsidP="507F8AEE" w:rsidRDefault="007E4811" w14:paraId="4326B412" w14:textId="2B76CDA3">
      <w:pPr>
        <w:pStyle w:val="Prrafodelista"/>
        <w:numPr>
          <w:ilvl w:val="0"/>
          <w:numId w:val="5"/>
        </w:numPr>
        <w:jc w:val="both"/>
      </w:pPr>
      <w:r>
        <w:t>Al incluir dos bytes para definir el tamaño del paquete, el protocolo se adapta a diferentes volúmenes de datos, lo que lo hace versátil</w:t>
      </w:r>
      <w:r w:rsidR="00B71256">
        <w:t xml:space="preserve"> </w:t>
      </w:r>
      <w:r w:rsidR="003D5609">
        <w:t>ante grandes volúmenes de datos</w:t>
      </w:r>
      <w:r>
        <w:t>.</w:t>
      </w:r>
    </w:p>
    <w:p w:rsidR="007E4811" w:rsidP="507F8AEE" w:rsidRDefault="007E4811" w14:paraId="3ED6F446" w14:textId="77777777">
      <w:pPr>
        <w:pStyle w:val="Prrafodelista"/>
        <w:jc w:val="both"/>
      </w:pPr>
    </w:p>
    <w:p w:rsidR="000918D2" w:rsidP="507F8AEE" w:rsidRDefault="003D5609" w14:paraId="62EB9363" w14:textId="77777777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Conocer términos como </w:t>
      </w:r>
      <w:proofErr w:type="spellStart"/>
      <w:r w:rsidR="0037307F">
        <w:t>O</w:t>
      </w:r>
      <w:r>
        <w:t>verhead</w:t>
      </w:r>
      <w:proofErr w:type="spellEnd"/>
      <w:r w:rsidR="00B01AC3">
        <w:t xml:space="preserve"> y formatos de transmisión de </w:t>
      </w:r>
      <w:proofErr w:type="gramStart"/>
      <w:r w:rsidR="00B01AC3">
        <w:t xml:space="preserve">datos  </w:t>
      </w:r>
      <w:r w:rsidR="004C46EF">
        <w:t>permite</w:t>
      </w:r>
      <w:proofErr w:type="gramEnd"/>
      <w:r w:rsidR="004C46EF">
        <w:t xml:space="preserve"> un óptimo desarrollo y creación de protocolos </w:t>
      </w:r>
      <w:r w:rsidR="00AA3ECA">
        <w:t>ya que son fundamentales a la ho</w:t>
      </w:r>
      <w:r w:rsidR="0037307F">
        <w:t>r</w:t>
      </w:r>
      <w:r w:rsidR="00AA3ECA">
        <w:t>a de rec</w:t>
      </w:r>
      <w:r w:rsidR="0037307F">
        <w:t>ibir</w:t>
      </w:r>
      <w:r w:rsidR="00AA3ECA">
        <w:t xml:space="preserve"> los </w:t>
      </w:r>
      <w:r w:rsidR="0037307F">
        <w:t xml:space="preserve">datos </w:t>
      </w:r>
      <w:r w:rsidR="007E4811">
        <w:t>necesarios</w:t>
      </w:r>
      <w:r w:rsidR="0037307F">
        <w:t>, asegurando</w:t>
      </w:r>
      <w:r w:rsidR="007E4811">
        <w:t xml:space="preserve"> la sincronización y corrección</w:t>
      </w:r>
      <w:r w:rsidR="0037307F">
        <w:t xml:space="preserve"> en caso de errores</w:t>
      </w:r>
      <w:r w:rsidR="007E4811">
        <w:t>.</w:t>
      </w:r>
    </w:p>
    <w:p w:rsidRPr="000918D2" w:rsidR="000918D2" w:rsidP="000918D2" w:rsidRDefault="000918D2" w14:paraId="028235C1" w14:textId="77777777">
      <w:pPr>
        <w:pStyle w:val="Prrafodelista"/>
        <w:rPr>
          <w:b/>
          <w:bCs/>
        </w:rPr>
      </w:pPr>
    </w:p>
    <w:p w:rsidRPr="000918D2" w:rsidR="00C35C3E" w:rsidP="000918D2" w:rsidRDefault="007549DF" w14:paraId="55624EB8" w14:textId="39E6B647">
      <w:pPr>
        <w:jc w:val="both"/>
      </w:pPr>
      <w:r w:rsidRPr="000918D2">
        <w:rPr>
          <w:b/>
          <w:bCs/>
        </w:rPr>
        <w:t>BIBLIOGRAFÍA:</w:t>
      </w:r>
    </w:p>
    <w:p w:rsidR="0095387F" w:rsidP="507F8AEE" w:rsidRDefault="0095387F" w14:paraId="550F190F" w14:textId="726C109F">
      <w:pPr>
        <w:jc w:val="both"/>
      </w:pPr>
      <w:r>
        <w:t xml:space="preserve">[1] «Sensor de Herradura KLH512 - </w:t>
      </w:r>
      <w:proofErr w:type="spellStart"/>
      <w:r>
        <w:t>Moviltronics</w:t>
      </w:r>
      <w:proofErr w:type="spellEnd"/>
      <w:r>
        <w:t xml:space="preserve">», </w:t>
      </w:r>
      <w:proofErr w:type="spellStart"/>
      <w:r w:rsidRPr="507F8AEE">
        <w:rPr>
          <w:i/>
          <w:iCs/>
        </w:rPr>
        <w:t>Moviltronics</w:t>
      </w:r>
      <w:proofErr w:type="spellEnd"/>
      <w:r>
        <w:t xml:space="preserve">, 3 de mayo de 2024. Disponible en: </w:t>
      </w:r>
      <w:hyperlink r:id="rId7">
        <w:r w:rsidRPr="507F8AEE" w:rsidR="00FA1316">
          <w:rPr>
            <w:rStyle w:val="Hipervnculo"/>
          </w:rPr>
          <w:t>https://moviltronics.com/tienda/sensor-klh512/</w:t>
        </w:r>
      </w:hyperlink>
    </w:p>
    <w:p w:rsidR="00FA1316" w:rsidP="507F8AEE" w:rsidRDefault="00FA1316" w14:paraId="2DCA6B9D" w14:textId="69ECD1A1">
      <w:pPr>
        <w:jc w:val="both"/>
      </w:pPr>
      <w:r>
        <w:t xml:space="preserve">[2] </w:t>
      </w:r>
      <w:r w:rsidR="00003F00">
        <w:t xml:space="preserve">«Doble Puente H TB6612FNG», </w:t>
      </w:r>
      <w:r w:rsidRPr="507F8AEE" w:rsidR="00003F00">
        <w:rPr>
          <w:i/>
          <w:iCs/>
        </w:rPr>
        <w:t>UNIT ELECTRONICS</w:t>
      </w:r>
      <w:r w:rsidR="00003F00">
        <w:t xml:space="preserve">. Disponible en: </w:t>
      </w:r>
      <w:hyperlink r:id="rId8">
        <w:r w:rsidRPr="507F8AEE" w:rsidR="00003F00">
          <w:rPr>
            <w:rStyle w:val="Hipervnculo"/>
          </w:rPr>
          <w:t>https://uelectronics.com/producto/doble-puente-h-tb6612fng/?srsltid=AfmBOor2_Fn69ubd_3kAXtR1Zh-oOXWBrBFq8dmfOs97bHHpi7R7ogZn</w:t>
        </w:r>
      </w:hyperlink>
      <w:r w:rsidR="00003F00">
        <w:t xml:space="preserve"> </w:t>
      </w:r>
    </w:p>
    <w:p w:rsidRPr="005940DD" w:rsidR="0037307F" w:rsidP="507F8AEE" w:rsidRDefault="00FA1316" w14:paraId="6163572F" w14:textId="2581BFE4">
      <w:pPr>
        <w:jc w:val="both"/>
      </w:pPr>
      <w:r>
        <w:t xml:space="preserve">[3] </w:t>
      </w:r>
      <w:r w:rsidR="005940DD">
        <w:t xml:space="preserve">alldatasheet.com, «TB6612FNG PDF». Disponible en: </w:t>
      </w:r>
      <w:hyperlink r:id="rId9">
        <w:r w:rsidRPr="507F8AEE" w:rsidR="005940DD">
          <w:rPr>
            <w:rStyle w:val="Hipervnculo"/>
          </w:rPr>
          <w:t>https://www.alldatasheet.com/datasheet-pdf/view/807693/TOSHIBA/TB6612FNG.html</w:t>
        </w:r>
      </w:hyperlink>
      <w:r w:rsidR="005940DD">
        <w:t xml:space="preserve"> </w:t>
      </w:r>
    </w:p>
    <w:p w:rsidRPr="009D714C" w:rsidR="00FA1316" w:rsidP="507F8AEE" w:rsidRDefault="005940DD" w14:paraId="5002F7C0" w14:textId="63D54280">
      <w:pPr>
        <w:jc w:val="both"/>
      </w:pPr>
      <w:r>
        <w:t xml:space="preserve"> </w:t>
      </w:r>
    </w:p>
    <w:p w:rsidRPr="007549DF" w:rsidR="0095387F" w:rsidP="005045E7" w:rsidRDefault="0095387F" w14:paraId="2E19A240" w14:textId="3F414A63">
      <w:pPr>
        <w:rPr>
          <w:b/>
          <w:bCs/>
        </w:rPr>
      </w:pPr>
    </w:p>
    <w:sectPr w:rsidRPr="007549DF" w:rsidR="0095387F" w:rsidSect="00FA4A2D">
      <w:pgSz w:w="12240" w:h="15840" w:orient="portrait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D6314"/>
    <w:multiLevelType w:val="multilevel"/>
    <w:tmpl w:val="612E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654254"/>
    <w:multiLevelType w:val="multilevel"/>
    <w:tmpl w:val="96E8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6BF5B"/>
    <w:multiLevelType w:val="hybridMultilevel"/>
    <w:tmpl w:val="FFFFFFFF"/>
    <w:lvl w:ilvl="0" w:tplc="A9DE5C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7248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3CEB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E0F0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BC6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822B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D62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C468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B2D0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495525"/>
    <w:multiLevelType w:val="hybridMultilevel"/>
    <w:tmpl w:val="5E30F5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2377D"/>
    <w:multiLevelType w:val="multilevel"/>
    <w:tmpl w:val="072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78405D0"/>
    <w:multiLevelType w:val="hybridMultilevel"/>
    <w:tmpl w:val="FFFFFFFF"/>
    <w:lvl w:ilvl="0" w:tplc="C5BAFC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B6DB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DA0A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2ACD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ACD6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A228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328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326B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248D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32D822"/>
    <w:multiLevelType w:val="hybridMultilevel"/>
    <w:tmpl w:val="FFFFFFFF"/>
    <w:lvl w:ilvl="0" w:tplc="5B6000F4">
      <w:start w:val="1"/>
      <w:numFmt w:val="decimal"/>
      <w:lvlText w:val="%1."/>
      <w:lvlJc w:val="left"/>
      <w:pPr>
        <w:ind w:left="720" w:hanging="360"/>
      </w:pPr>
    </w:lvl>
    <w:lvl w:ilvl="1" w:tplc="FD66D35E">
      <w:start w:val="1"/>
      <w:numFmt w:val="lowerLetter"/>
      <w:lvlText w:val="%2."/>
      <w:lvlJc w:val="left"/>
      <w:pPr>
        <w:ind w:left="1440" w:hanging="360"/>
      </w:pPr>
    </w:lvl>
    <w:lvl w:ilvl="2" w:tplc="70E46710">
      <w:start w:val="1"/>
      <w:numFmt w:val="lowerRoman"/>
      <w:lvlText w:val="%3."/>
      <w:lvlJc w:val="right"/>
      <w:pPr>
        <w:ind w:left="2160" w:hanging="180"/>
      </w:pPr>
    </w:lvl>
    <w:lvl w:ilvl="3" w:tplc="6464D5F4">
      <w:start w:val="1"/>
      <w:numFmt w:val="decimal"/>
      <w:lvlText w:val="%4."/>
      <w:lvlJc w:val="left"/>
      <w:pPr>
        <w:ind w:left="2880" w:hanging="360"/>
      </w:pPr>
    </w:lvl>
    <w:lvl w:ilvl="4" w:tplc="77849BC8">
      <w:start w:val="1"/>
      <w:numFmt w:val="lowerLetter"/>
      <w:lvlText w:val="%5."/>
      <w:lvlJc w:val="left"/>
      <w:pPr>
        <w:ind w:left="3600" w:hanging="360"/>
      </w:pPr>
    </w:lvl>
    <w:lvl w:ilvl="5" w:tplc="B79A0AC4">
      <w:start w:val="1"/>
      <w:numFmt w:val="lowerRoman"/>
      <w:lvlText w:val="%6."/>
      <w:lvlJc w:val="right"/>
      <w:pPr>
        <w:ind w:left="4320" w:hanging="180"/>
      </w:pPr>
    </w:lvl>
    <w:lvl w:ilvl="6" w:tplc="5600B862">
      <w:start w:val="1"/>
      <w:numFmt w:val="decimal"/>
      <w:lvlText w:val="%7."/>
      <w:lvlJc w:val="left"/>
      <w:pPr>
        <w:ind w:left="5040" w:hanging="360"/>
      </w:pPr>
    </w:lvl>
    <w:lvl w:ilvl="7" w:tplc="0BAABB22">
      <w:start w:val="1"/>
      <w:numFmt w:val="lowerLetter"/>
      <w:lvlText w:val="%8."/>
      <w:lvlJc w:val="left"/>
      <w:pPr>
        <w:ind w:left="5760" w:hanging="360"/>
      </w:pPr>
    </w:lvl>
    <w:lvl w:ilvl="8" w:tplc="775456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E7B1E"/>
    <w:multiLevelType w:val="hybridMultilevel"/>
    <w:tmpl w:val="254E703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FA168F"/>
    <w:multiLevelType w:val="multilevel"/>
    <w:tmpl w:val="614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4D32BFD"/>
    <w:multiLevelType w:val="hybridMultilevel"/>
    <w:tmpl w:val="C1E0643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06812928">
    <w:abstractNumId w:val="9"/>
  </w:num>
  <w:num w:numId="2" w16cid:durableId="2007587685">
    <w:abstractNumId w:val="8"/>
  </w:num>
  <w:num w:numId="3" w16cid:durableId="243876440">
    <w:abstractNumId w:val="4"/>
  </w:num>
  <w:num w:numId="4" w16cid:durableId="895581861">
    <w:abstractNumId w:val="7"/>
  </w:num>
  <w:num w:numId="5" w16cid:durableId="328366149">
    <w:abstractNumId w:val="3"/>
  </w:num>
  <w:num w:numId="6" w16cid:durableId="260533044">
    <w:abstractNumId w:val="1"/>
  </w:num>
  <w:num w:numId="7" w16cid:durableId="124661809">
    <w:abstractNumId w:val="0"/>
  </w:num>
  <w:num w:numId="8" w16cid:durableId="592856018">
    <w:abstractNumId w:val="2"/>
  </w:num>
  <w:num w:numId="9" w16cid:durableId="1089305766">
    <w:abstractNumId w:val="6"/>
  </w:num>
  <w:num w:numId="10" w16cid:durableId="708263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5C"/>
    <w:rsid w:val="00001889"/>
    <w:rsid w:val="00003F00"/>
    <w:rsid w:val="000362D7"/>
    <w:rsid w:val="0004556F"/>
    <w:rsid w:val="00077A0C"/>
    <w:rsid w:val="000918D2"/>
    <w:rsid w:val="000A3153"/>
    <w:rsid w:val="000C38B7"/>
    <w:rsid w:val="001056DE"/>
    <w:rsid w:val="0011055E"/>
    <w:rsid w:val="001124EB"/>
    <w:rsid w:val="0011470F"/>
    <w:rsid w:val="00125F8A"/>
    <w:rsid w:val="001638F0"/>
    <w:rsid w:val="001721D1"/>
    <w:rsid w:val="00183A29"/>
    <w:rsid w:val="00186055"/>
    <w:rsid w:val="001873B9"/>
    <w:rsid w:val="001A4F37"/>
    <w:rsid w:val="001D0D61"/>
    <w:rsid w:val="001E3CDB"/>
    <w:rsid w:val="00202250"/>
    <w:rsid w:val="00255EAC"/>
    <w:rsid w:val="00295A86"/>
    <w:rsid w:val="002B3A56"/>
    <w:rsid w:val="002B4F31"/>
    <w:rsid w:val="002C5B3F"/>
    <w:rsid w:val="002E147B"/>
    <w:rsid w:val="002E4F17"/>
    <w:rsid w:val="00306B5C"/>
    <w:rsid w:val="00313E7F"/>
    <w:rsid w:val="00322F53"/>
    <w:rsid w:val="003258EB"/>
    <w:rsid w:val="00344854"/>
    <w:rsid w:val="0034585C"/>
    <w:rsid w:val="00346107"/>
    <w:rsid w:val="00361262"/>
    <w:rsid w:val="0037307F"/>
    <w:rsid w:val="00394DD6"/>
    <w:rsid w:val="003962F3"/>
    <w:rsid w:val="003A0765"/>
    <w:rsid w:val="003A7225"/>
    <w:rsid w:val="003B1094"/>
    <w:rsid w:val="003B5654"/>
    <w:rsid w:val="003D5609"/>
    <w:rsid w:val="003E6A22"/>
    <w:rsid w:val="00413DFB"/>
    <w:rsid w:val="00443B48"/>
    <w:rsid w:val="004615D5"/>
    <w:rsid w:val="0048755E"/>
    <w:rsid w:val="004C46EF"/>
    <w:rsid w:val="004C6C71"/>
    <w:rsid w:val="004E1EFA"/>
    <w:rsid w:val="004F3CDB"/>
    <w:rsid w:val="00500024"/>
    <w:rsid w:val="005045E7"/>
    <w:rsid w:val="00517B7A"/>
    <w:rsid w:val="0052315C"/>
    <w:rsid w:val="00540FB2"/>
    <w:rsid w:val="00547B00"/>
    <w:rsid w:val="00557BFC"/>
    <w:rsid w:val="005720C6"/>
    <w:rsid w:val="005861CF"/>
    <w:rsid w:val="005940DD"/>
    <w:rsid w:val="005B0C9C"/>
    <w:rsid w:val="005D4D63"/>
    <w:rsid w:val="005E0C2D"/>
    <w:rsid w:val="005E2904"/>
    <w:rsid w:val="005F21FB"/>
    <w:rsid w:val="005F6512"/>
    <w:rsid w:val="0060281D"/>
    <w:rsid w:val="00602FD7"/>
    <w:rsid w:val="00644E60"/>
    <w:rsid w:val="0065388F"/>
    <w:rsid w:val="006740DD"/>
    <w:rsid w:val="0068713F"/>
    <w:rsid w:val="00690177"/>
    <w:rsid w:val="00694A08"/>
    <w:rsid w:val="006A721E"/>
    <w:rsid w:val="006B5DF2"/>
    <w:rsid w:val="007177E0"/>
    <w:rsid w:val="00720AC1"/>
    <w:rsid w:val="0073058D"/>
    <w:rsid w:val="00731F2A"/>
    <w:rsid w:val="0073485A"/>
    <w:rsid w:val="00750314"/>
    <w:rsid w:val="007549DF"/>
    <w:rsid w:val="00776E72"/>
    <w:rsid w:val="007A2B86"/>
    <w:rsid w:val="007A4C1B"/>
    <w:rsid w:val="007B3D1C"/>
    <w:rsid w:val="007E4811"/>
    <w:rsid w:val="007F738D"/>
    <w:rsid w:val="00806E35"/>
    <w:rsid w:val="008076F0"/>
    <w:rsid w:val="00811540"/>
    <w:rsid w:val="00824D70"/>
    <w:rsid w:val="00845ACF"/>
    <w:rsid w:val="008662DC"/>
    <w:rsid w:val="00884779"/>
    <w:rsid w:val="00890E56"/>
    <w:rsid w:val="00894A2A"/>
    <w:rsid w:val="008A3F5D"/>
    <w:rsid w:val="008C0470"/>
    <w:rsid w:val="008D76F9"/>
    <w:rsid w:val="008D7936"/>
    <w:rsid w:val="008F1DDB"/>
    <w:rsid w:val="008F5090"/>
    <w:rsid w:val="009107A3"/>
    <w:rsid w:val="00941C14"/>
    <w:rsid w:val="0095387F"/>
    <w:rsid w:val="009865F4"/>
    <w:rsid w:val="009965F3"/>
    <w:rsid w:val="009A202F"/>
    <w:rsid w:val="009A351E"/>
    <w:rsid w:val="009A4433"/>
    <w:rsid w:val="009A7DC2"/>
    <w:rsid w:val="009B294A"/>
    <w:rsid w:val="009C10B6"/>
    <w:rsid w:val="009C1CD7"/>
    <w:rsid w:val="009C2EE9"/>
    <w:rsid w:val="009C5A6F"/>
    <w:rsid w:val="009D6873"/>
    <w:rsid w:val="009D714C"/>
    <w:rsid w:val="009D72E3"/>
    <w:rsid w:val="009F69B5"/>
    <w:rsid w:val="00A11213"/>
    <w:rsid w:val="00A17686"/>
    <w:rsid w:val="00A2665A"/>
    <w:rsid w:val="00A340EB"/>
    <w:rsid w:val="00A352B8"/>
    <w:rsid w:val="00A4787F"/>
    <w:rsid w:val="00A706AA"/>
    <w:rsid w:val="00AA3ECA"/>
    <w:rsid w:val="00AB02B3"/>
    <w:rsid w:val="00AC17E8"/>
    <w:rsid w:val="00AE4713"/>
    <w:rsid w:val="00B01AC3"/>
    <w:rsid w:val="00B03ED9"/>
    <w:rsid w:val="00B11CB9"/>
    <w:rsid w:val="00B23027"/>
    <w:rsid w:val="00B60FC1"/>
    <w:rsid w:val="00B6347D"/>
    <w:rsid w:val="00B71256"/>
    <w:rsid w:val="00B73EEA"/>
    <w:rsid w:val="00B811BB"/>
    <w:rsid w:val="00BD5CDD"/>
    <w:rsid w:val="00C02D84"/>
    <w:rsid w:val="00C03EF5"/>
    <w:rsid w:val="00C35C3E"/>
    <w:rsid w:val="00C60E60"/>
    <w:rsid w:val="00C7149D"/>
    <w:rsid w:val="00C81C98"/>
    <w:rsid w:val="00CB2D6B"/>
    <w:rsid w:val="00CE3BD2"/>
    <w:rsid w:val="00CE634D"/>
    <w:rsid w:val="00CF47C1"/>
    <w:rsid w:val="00D24736"/>
    <w:rsid w:val="00D32687"/>
    <w:rsid w:val="00D3385A"/>
    <w:rsid w:val="00D6209A"/>
    <w:rsid w:val="00D655EA"/>
    <w:rsid w:val="00DB54EF"/>
    <w:rsid w:val="00DC4674"/>
    <w:rsid w:val="00DC56DA"/>
    <w:rsid w:val="00DF0686"/>
    <w:rsid w:val="00E12C23"/>
    <w:rsid w:val="00E4744E"/>
    <w:rsid w:val="00E549F8"/>
    <w:rsid w:val="00E9205F"/>
    <w:rsid w:val="00EC3CF0"/>
    <w:rsid w:val="00EC4D98"/>
    <w:rsid w:val="00EE5CE6"/>
    <w:rsid w:val="00EE73F4"/>
    <w:rsid w:val="00EF053E"/>
    <w:rsid w:val="00EF2F5D"/>
    <w:rsid w:val="00F0786B"/>
    <w:rsid w:val="00F85C4C"/>
    <w:rsid w:val="00F93385"/>
    <w:rsid w:val="00FA1316"/>
    <w:rsid w:val="00FA4653"/>
    <w:rsid w:val="00FA4A2D"/>
    <w:rsid w:val="00FD53BA"/>
    <w:rsid w:val="00FE353A"/>
    <w:rsid w:val="00FE60DE"/>
    <w:rsid w:val="10A5977E"/>
    <w:rsid w:val="12AFE764"/>
    <w:rsid w:val="1C628187"/>
    <w:rsid w:val="1F263290"/>
    <w:rsid w:val="222AB413"/>
    <w:rsid w:val="23AB9944"/>
    <w:rsid w:val="24528AB4"/>
    <w:rsid w:val="2BFB0F17"/>
    <w:rsid w:val="3870C42C"/>
    <w:rsid w:val="4422C8BA"/>
    <w:rsid w:val="447D83D0"/>
    <w:rsid w:val="483FB1D5"/>
    <w:rsid w:val="507F8AEE"/>
    <w:rsid w:val="52A386C3"/>
    <w:rsid w:val="54F5C449"/>
    <w:rsid w:val="5D82A99A"/>
    <w:rsid w:val="63FC5D1C"/>
    <w:rsid w:val="718B4131"/>
    <w:rsid w:val="7207C9E7"/>
    <w:rsid w:val="7212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B729"/>
  <w15:chartTrackingRefBased/>
  <w15:docId w15:val="{506C1E1E-4CE7-4E42-BAB5-827384D3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45E7"/>
  </w:style>
  <w:style w:type="paragraph" w:styleId="Ttulo1">
    <w:name w:val="heading 1"/>
    <w:basedOn w:val="Normal"/>
    <w:next w:val="Normal"/>
    <w:link w:val="Ttulo1Car"/>
    <w:uiPriority w:val="9"/>
    <w:qFormat/>
    <w:rsid w:val="005231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1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52315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52315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52315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52315C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52315C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52315C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52315C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52315C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5231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1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231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2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15C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5231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1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1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15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231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1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56DE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A13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131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3B56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1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6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4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55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5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8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electronics.com/producto/doble-puente-h-tb6612fng/?srsltid=AfmBOor2_Fn69ubd_3kAXtR1Zh-oOXWBrBFq8dmfOs97bHHpi7R7ogZn" TargetMode="External" Id="rId8" /><Relationship Type="http://schemas.openxmlformats.org/officeDocument/2006/relationships/styles" Target="styles.xml" Id="rId3" /><Relationship Type="http://schemas.openxmlformats.org/officeDocument/2006/relationships/hyperlink" Target="https://moviltronics.com/tienda/sensor-klh512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www.alldatasheet.com/datasheet-pdf/view/807693/TOSHIBA/TB6612FNG.html" TargetMode="External" Id="rId9" /><Relationship Type="http://schemas.openxmlformats.org/officeDocument/2006/relationships/image" Target="/media/image2.png" Id="R0bd8331d5af04b9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7FE22-1E3C-4D31-81BD-4116BA4ADF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Wendy Johanna Chaparro Meneses</dc:creator>
  <keywords/>
  <dc:description/>
  <lastModifiedBy>Wendy Johanna Chaparro Meneses</lastModifiedBy>
  <revision>39</revision>
  <dcterms:created xsi:type="dcterms:W3CDTF">2024-09-26T18:27:00.0000000Z</dcterms:created>
  <dcterms:modified xsi:type="dcterms:W3CDTF">2024-09-28T06:01:49.9808008Z</dcterms:modified>
</coreProperties>
</file>