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8D926B4">
      <w:pPr>
        <w:pStyle w:val="000008"/>
        <w:spacing w:before="540" w:after="360"/>
        <w:jc w:val="center"/>
      </w:pPr>
      <w:r>
        <w:rPr>
          <w:rFonts w:hint="eastAsia" w:ascii="宋体" w:hAnsi="宋体" w:eastAsia="宋体" w:cs="宋体"/>
          <w:b w:val="1"/>
          <w:color w:val="000000"/>
          <w:sz w:val="36"/>
          <w:lang w:eastAsia="zh-CN"/>
        </w:rPr>
        <w:t>本科毕业设计开题报告框架</w:t>
      </w:r>
    </w:p>
    <w:p w14:paraId="58B24B7B">
      <w:pPr>
        <w:spacing w:after="420"/>
        <w:ind w:firstLine="0"/>
        <w:jc w:val="center"/>
      </w:pPr>
      <w:r>
        <w:rPr>
          <w:rFonts w:hint="eastAsia" w:ascii="宋体" w:hAnsi="宋体" w:eastAsia="宋体" w:cs="宋体"/>
          <w:b w:val="0"/>
          <w:sz w:val="28"/>
          <w:lang w:eastAsia="zh-CN"/>
        </w:rPr>
        <w:t>拟定题目：面向端侧部署的轻量化检索增强生成方法研究</w:t>
      </w:r>
      <w:r>
        <w:rPr>
          <w:rFonts w:hint="eastAsia" w:ascii="宋体" w:hAnsi="宋体" w:eastAsia="宋体" w:cs="宋体"/>
          <w:b w:val="0"/>
          <w:sz w:val="28"/>
          <w:lang w:eastAsia="zh-CN"/>
        </w:rPr>
        <w:br w:type="textWrapping"/>
      </w:r>
      <w:r>
        <w:rPr>
          <w:b w:val="0"/>
          <w:sz w:val="28"/>
        </w:rPr>
        <w:t>——</w:t>
      </w:r>
      <w:r>
        <w:rPr>
          <w:rFonts w:hint="eastAsia" w:ascii="宋体" w:hAnsi="宋体" w:eastAsia="宋体" w:cs="宋体"/>
          <w:b w:val="0"/>
          <w:sz w:val="28"/>
          <w:lang w:eastAsia="zh-CN"/>
        </w:rPr>
        <w:t>智能体式检索与量化压缩的联合优化</w:t>
      </w:r>
    </w:p>
    <w:p w14:paraId="76ED7B6A"/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6F801B21">
            <w:pPr>
              <w:spacing w:before="60" w:after="60" w:line="240" w:lineRule="auto"/>
              <w:jc w:val="right"/>
            </w:pPr>
            <w:r>
              <w:rPr>
                <w:rFonts w:hint="eastAsia"/>
                <w:b w:val="0"/>
                <w:sz w:val="24"/>
              </w:rPr>
              <w:t>项目</w:t>
            </w:r>
          </w:p>
        </w:tc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24D96A2E">
            <w:pPr>
              <w:spacing w:before="60" w:after="60" w:line="240" w:lineRule="auto"/>
              <w:jc w:val="right"/>
            </w:pPr>
            <w:r>
              <w:rPr>
                <w:rFonts w:hint="eastAsia"/>
                <w:b w:val="0"/>
                <w:sz w:val="24"/>
              </w:rPr>
              <w:t>填写内容</w:t>
            </w:r>
          </w:p>
        </w:tc>
      </w:tr>
      <w:tr>
        <w:trPr/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7856DA94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学　　院</w:t>
            </w:r>
          </w:p>
        </w:tc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6327B489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＿＿＿＿＿＿＿＿＿＿</w:t>
            </w:r>
          </w:p>
        </w:tc>
      </w:tr>
      <w:tr>
        <w:trPr/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36AC9D31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专　　业</w:t>
            </w:r>
          </w:p>
        </w:tc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216DC17C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＿＿＿＿＿＿＿＿＿＿</w:t>
            </w:r>
          </w:p>
        </w:tc>
      </w:tr>
      <w:tr>
        <w:trPr/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74F240D6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5F003643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＿＿＿＿＿＿＿＿＿＿</w:t>
            </w:r>
          </w:p>
        </w:tc>
      </w:tr>
      <w:tr>
        <w:trPr/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32800FCF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学　　号</w:t>
            </w:r>
          </w:p>
        </w:tc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1D326CA2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＿＿＿＿＿＿＿＿＿＿</w:t>
            </w:r>
          </w:p>
        </w:tc>
      </w:tr>
      <w:tr>
        <w:trPr/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70ADB528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5BECA10D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＿＿＿＿＿＿＿＿＿＿</w:t>
            </w:r>
          </w:p>
        </w:tc>
      </w:tr>
      <w:tr>
        <w:trPr/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2F67E19D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日　　期</w:t>
            </w:r>
          </w:p>
        </w:tc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37AECB27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＿＿＿＿年＿＿月＿＿日</w:t>
            </w:r>
          </w:p>
        </w:tc>
      </w:tr>
    </w:tbl>
    <w:p w14:paraId="2BCB4B43">
      <w:pPr>
        <w:ind w:firstLine="0"/>
        <w:jc w:val="center"/>
      </w:pPr>
      <w:r>
        <w:rPr>
          <w:rFonts w:hint="eastAsia" w:ascii="宋体" w:hAnsi="宋体" w:eastAsia="宋体" w:cs="宋体"/>
          <w:color w:val="555555"/>
          <w:sz w:val="21"/>
          <w:lang w:eastAsia="zh-CN"/>
        </w:rPr>
        <w:t>本文件为开题报告写作框架，供填写与修改使用</w:t>
      </w:r>
    </w:p>
    <w:p w14:paraId="49001043">
      <w:pPr>
        <w:sectPr>
          <w:type w:val="nextPage"/>
          <w:pgSz w:w="11906" w:h="16838"/>
          <w:pgMar w:top="1701" w:right="1417" w:bottom="1417" w:left="1701"/>
        </w:sectPr>
      </w:pPr>
    </w:p>
    <w:p w14:paraId="24ABE2C5">
      <w:pPr>
        <w:spacing w:after="140"/>
        <w:ind w:firstLine="0"/>
        <w:jc w:val="center"/>
      </w:pPr>
      <w:r>
        <w:rPr>
          <w:rFonts w:hint="eastAsia" w:ascii="黑体" w:hAnsi="黑体" w:eastAsia="黑体"/>
          <w:b w:val="1"/>
          <w:sz w:val="28"/>
        </w:rPr>
        <w:t>目录</w:t>
      </w:r>
    </w:p>
    <w:p w14:paraId="02B65C86">
      <w:r>
        <w:fldChar w:fldCharType="begin" w:fldLock="0" w:dirty="0"/>
      </w:r>
      <w:r>
        <w:instrText>HYPERLINK \l "_Toc_sec_1"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一、选题基本信息</w:t>
      </w:r>
      <w:r>
        <w:fldChar w:fldCharType="end" w:fldLock="0" w:dirty="0"/>
      </w:r>
    </w:p>
    <w:p w14:paraId="2372A137">
      <w:r>
        <w:fldChar w:fldCharType="begin" w:fldLock="0" w:dirty="0"/>
      </w:r>
      <w:r>
        <w:instrText>HYPERLINK \l "_Toc_sec_2"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二、选题依据</w:t>
      </w:r>
      <w:r>
        <w:fldChar w:fldCharType="end" w:fldLock="0" w:dirty="0"/>
      </w:r>
    </w:p>
    <w:p w14:paraId="7A6C7B33">
      <w:r>
        <w:fldChar w:fldCharType="begin" w:fldLock="0" w:dirty="0"/>
      </w:r>
      <w:r>
        <w:instrText>HYPERLINK \l "_Toc_sec_3"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三、研究基础与可行性分析</w:t>
      </w:r>
      <w:r>
        <w:fldChar w:fldCharType="end" w:fldLock="0" w:dirty="0"/>
      </w:r>
    </w:p>
    <w:p w14:paraId="1CE5B9DB">
      <w:r>
        <w:fldChar w:fldCharType="begin" w:fldLock="0" w:dirty="0"/>
      </w:r>
      <w:r>
        <w:instrText>HYPERLINK \l "_Toc_sec_4"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四、研究内容</w:t>
      </w:r>
      <w:r>
        <w:fldChar w:fldCharType="end" w:fldLock="0" w:dirty="0"/>
      </w:r>
    </w:p>
    <w:p w14:paraId="54127E2C">
      <w:r>
        <w:fldChar w:fldCharType="begin" w:fldLock="0" w:dirty="0"/>
      </w:r>
      <w:r>
        <w:instrText>HYPERLINK \l "_Toc_sec_5"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五、技术路线与实施方案</w:t>
      </w:r>
      <w:r>
        <w:fldChar w:fldCharType="end" w:fldLock="0" w:dirty="0"/>
      </w:r>
    </w:p>
    <w:p w14:paraId="00000001">
      <w:pPr>
        <w:pStyle w:val="000002"/>
      </w:pPr>
      <w:r>
        <w:fldChar w:fldCharType="begin" w:fldLock="0" w:dirty="0"/>
      </w:r>
      <w:r>
        <w:instrText>HYPERLINK \l "_Toc_sec_6"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六、实验设计与评估指标</w:t>
      </w:r>
    </w:p>
    <w:p w14:paraId="00000002">
      <w:pPr>
        <w:pStyle w:val="000002"/>
        <w:rPr>
          <w:rFonts w:ascii="Times New Roman" w:hAnsi="Times New Roman" w:eastAsia="Times New Roman"/>
          <w:color w:val="000000"/>
          <w:sz w:val="24"/>
        </w:rPr>
      </w:pPr>
      <w:r>
        <w:rPr>
          <w:rFonts w:hint="eastAsia" w:ascii="Times New Roman" w:hAnsi="Times New Roman" w:eastAsia="Times New Roman"/>
          <w:color w:val="000000"/>
          <w:u w:val="none"/>
        </w:rPr>
        <w:t>七、演示方案与可视化设计</w:t>
      </w:r>
    </w:p>
    <w:p w14:paraId="35806356">
      <w:r>
        <w:fldChar w:fldCharType="end" w:fldLock="0" w:dirty="0"/>
      </w:r>
    </w:p>
    <w:p w14:paraId="36D9B596">
      <w:r>
        <w:fldChar w:fldCharType="begin" w:fldLock="0" w:dirty="0"/>
      </w:r>
      <w:r>
        <w:instrText>HYPERLINK \l "_Toc_sec_7"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八、创新点</w:t>
      </w:r>
      <w:r>
        <w:fldChar w:fldCharType="end" w:fldLock="0" w:dirty="0"/>
      </w:r>
    </w:p>
    <w:p w14:paraId="58CEFF21">
      <w:r>
        <w:fldChar w:fldCharType="begin" w:fldLock="0" w:dirty="0"/>
      </w:r>
      <w:r>
        <w:instrText>HYPERLINK \l "_Toc_sec_8"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九、进度安排</w:t>
      </w:r>
      <w:r>
        <w:fldChar w:fldCharType="end" w:fldLock="0" w:dirty="0"/>
      </w:r>
    </w:p>
    <w:p w14:paraId="7A7BB1D5">
      <w:r>
        <w:fldChar w:fldCharType="begin" w:fldLock="0" w:dirty="0"/>
      </w:r>
      <w:r>
        <w:instrText>HYPERLINK \l "_Toc_sec_9"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十、预期成果</w:t>
      </w:r>
      <w:r>
        <w:fldChar w:fldCharType="end" w:fldLock="0" w:dirty="0"/>
      </w:r>
    </w:p>
    <w:p w14:paraId="32BFFC12">
      <w:r>
        <w:fldChar w:fldCharType="begin" w:fldLock="0" w:dirty="0"/>
      </w:r>
      <w:r>
        <w:instrText>HYPERLINK \l "_Toc_sec_10"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十一、主要难点与对策</w:t>
      </w:r>
      <w:r>
        <w:fldChar w:fldCharType="end" w:fldLock="0" w:dirty="0"/>
      </w:r>
    </w:p>
    <w:p w14:paraId="6DF238BF">
      <w:r>
        <w:fldChar w:fldCharType="begin" w:fldLock="0" w:dirty="0"/>
      </w:r>
      <w:r>
        <w:instrText>HYPERLINK \l "_Toc_sec_11"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十二、合规与诚信说明</w:t>
      </w:r>
      <w:r>
        <w:fldChar w:fldCharType="end" w:fldLock="0" w:dirty="0"/>
      </w:r>
    </w:p>
    <w:p w14:paraId="0FAEF71C">
      <w:r>
        <w:fldChar w:fldCharType="begin" w:fldLock="0" w:dirty="0"/>
      </w:r>
      <w:r>
        <w:instrText>HYPERLINK \l "_Toc_sec_ref"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参考文献</w:t>
      </w:r>
      <w:r>
        <w:fldChar w:fldCharType="end" w:fldLock="0" w:dirty="0"/>
      </w:r>
    </w:p>
    <w:p w14:paraId="24807C8C">
      <w:pPr>
        <w:spacing w:after="96"/>
        <w:ind w:firstLine="0"/>
        <w:jc w:val="left"/>
      </w:pPr>
      <w:r>
        <w:rPr>
          <w:rFonts w:hint="eastAsia" w:ascii="宋体" w:hAnsi="宋体" w:eastAsia="宋体" w:cs="宋体"/>
          <w:b w:val="1"/>
          <w:lang w:eastAsia="zh-CN"/>
        </w:rPr>
        <w:t>使用说明</w:t>
      </w:r>
    </w:p>
    <w:p w14:paraId="3649AD0B">
      <w:pPr>
        <w:ind w:firstLine="0"/>
        <w:jc w:val="left"/>
      </w:pPr>
      <w:r>
        <w:rPr>
          <w:rFonts w:hint="eastAsia" w:ascii="宋体" w:hAnsi="宋体" w:eastAsia="宋体" w:cs="宋体"/>
          <w:sz w:val="24"/>
          <w:lang w:eastAsia="zh-CN"/>
        </w:rPr>
        <w:t>本框架按开题报告的评审关注点组织：选题依据说明为什么做，研究基础与可行性说明能不能做，研究内容与技术路线说明怎么做，实验设计与指标体系说明怎么证明做得好，进度与风险说明能不能按时做完。各章节标题与顺序可按所在学校模板调整，但这四类信息不宜缺失。第二章的文献标注要求与第十二章的诚信说明</w:t>
      </w:r>
      <w:r>
        <w:rPr>
          <w:rFonts w:hint="eastAsia" w:ascii="宋体" w:hAnsi="宋体" w:eastAsia="宋体" w:cs="宋体"/>
          <w:sz w:val="24"/>
          <w:lang w:eastAsia="zh-CN"/>
        </w:rPr>
        <w:t>须在定稿前逐条落实。</w:t>
      </w:r>
    </w:p>
    <w:p w14:paraId="463924FF">
      <w:pPr>
        <w:pStyle w:val="00000a"/>
      </w:pPr>
      <w:bookmarkStart w:id="1" w:name="_Toc_sec_1"/>
      <w:r>
        <w:rPr>
          <w:rFonts w:hint="eastAsia" w:ascii="宋体" w:hAnsi="宋体" w:eastAsia="宋体" w:cs="宋体"/>
          <w:b w:val="1"/>
          <w:color w:val="000000"/>
          <w:sz w:val="30"/>
          <w:lang w:eastAsia="zh-CN"/>
        </w:rPr>
        <w:t>一、选题基本信息</w:t>
      </w:r>
      <w:bookmarkEnd w:id="1"/>
    </w:p>
    <w:p w14:paraId="4581CCCE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本部分登记题目方案与研究定位，供开题时快速说明研究的边界与关键词。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65B24D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项目</w:t>
            </w:r>
          </w:p>
        </w:tc>
        <w:tc>
          <w:tcPr>
            <w:tcW w:w="432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796043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内容</w:t>
            </w:r>
          </w:p>
        </w:tc>
      </w:tr>
      <w:tr>
        <w:trPr/>
        <w:tc>
          <w:tcPr>
            <w:tcW w:w="432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FB21F7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拟定题目</w:t>
            </w:r>
          </w:p>
        </w:tc>
        <w:tc>
          <w:tcPr>
            <w:tcW w:w="432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B72473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面向端侧部署的轻量化检索增强生成方法研究 —— 智能体式检索与量化压缩的联合优化</w:t>
            </w:r>
          </w:p>
        </w:tc>
      </w:tr>
      <w:tr>
        <w:trPr/>
        <w:tc>
          <w:tcPr>
            <w:tcW w:w="432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F600FE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备选题目一</w:t>
            </w:r>
          </w:p>
        </w:tc>
        <w:tc>
          <w:tcPr>
            <w:tcW w:w="432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49B140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面向离线场景的轻量化检索增强生成系统设计与评估</w:t>
            </w:r>
          </w:p>
        </w:tc>
      </w:tr>
      <w:tr>
        <w:trPr/>
        <w:tc>
          <w:tcPr>
            <w:tcW w:w="432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80FCFC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备选题目二</w:t>
            </w:r>
          </w:p>
        </w:tc>
        <w:tc>
          <w:tcPr>
            <w:tcW w:w="432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2C4B72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量化压缩对检索增强生成端到端质量影响的实验研究</w:t>
            </w:r>
          </w:p>
        </w:tc>
      </w:tr>
      <w:tr>
        <w:trPr/>
        <w:tc>
          <w:tcPr>
            <w:tcW w:w="432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6DEAFE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备选题目三</w:t>
            </w:r>
          </w:p>
        </w:tc>
        <w:tc>
          <w:tcPr>
            <w:tcW w:w="432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87B061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边缘设备上自适应检索策略与可信生成方法研究</w:t>
            </w:r>
          </w:p>
        </w:tc>
      </w:tr>
      <w:tr>
        <w:trPr/>
        <w:tc>
          <w:tcPr>
            <w:tcW w:w="432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00D02C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研究方向</w:t>
            </w:r>
          </w:p>
        </w:tc>
        <w:tc>
          <w:tcPr>
            <w:tcW w:w="432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83D6E1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大语言模型应用  /  检索增强生成  /  模型轻量化与端侧推理</w:t>
            </w:r>
          </w:p>
        </w:tc>
      </w:tr>
      <w:tr>
        <w:trPr/>
        <w:tc>
          <w:tcPr>
            <w:tcW w:w="432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FA882E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关键词</w:t>
            </w:r>
          </w:p>
        </w:tc>
        <w:tc>
          <w:tcPr>
            <w:tcW w:w="432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9FEA61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检索增强生成；智能体式检索；模型量化；端侧推理；可信生成；过程可视化</w:t>
            </w:r>
          </w:p>
        </w:tc>
      </w:tr>
    </w:tbl>
    <w:p w14:paraId="5ABC443B">
      <w:bookmarkStart w:id="2" w:name="sec-2"/>
      <w:bookmarkEnd w:id="2"/>
    </w:p>
    <w:p w14:paraId="2924DBD6">
      <w:pPr>
        <w:pStyle w:val="00000a"/>
      </w:pPr>
      <w:bookmarkStart w:id="3" w:name="_Toc_sec_2"/>
      <w:r>
        <w:rPr>
          <w:rFonts w:hint="eastAsia" w:ascii="宋体" w:hAnsi="宋体" w:eastAsia="宋体" w:cs="宋体"/>
          <w:b w:val="1"/>
          <w:color w:val="000000"/>
          <w:sz w:val="30"/>
          <w:lang w:eastAsia="zh-CN"/>
        </w:rPr>
        <w:t>二、选题依据</w:t>
      </w:r>
      <w:bookmarkEnd w:id="3"/>
    </w:p>
    <w:p w14:paraId="227CC832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本部分回答为什么做这个题目，依次说明研究背景、研究现状、尚存的空白以及研究的价值。</w:t>
      </w:r>
    </w:p>
    <w:p w14:paraId="10BDA40E">
      <w:pPr>
        <w:pStyle w:val="00000c"/>
      </w:pPr>
      <w:r>
        <w:rPr>
          <w:rFonts w:hint="eastAsia" w:ascii="宋体" w:hAnsi="宋体" w:eastAsia="宋体" w:cs="宋体"/>
          <w:b w:val="1"/>
          <w:color w:val="000000"/>
          <w:sz w:val="28"/>
          <w:lang w:eastAsia="zh-CN"/>
        </w:rPr>
        <w:t>（一）研究背景</w:t>
      </w:r>
    </w:p>
    <w:p w14:paraId="4D246FE3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大语言模型在知识问答类任务上已具备较强能力，但其知识受限于训练语料的时间与范围，且在小参数规模下容易产生事实性错误。检索增强生成（</w:t>
      </w:r>
      <w:r>
        <w:t>Retrieval-Augmented Generation</w:t>
      </w:r>
      <w:r>
        <w:rPr>
          <w:rFonts w:hint="eastAsia" w:ascii="宋体" w:hAnsi="宋体" w:eastAsia="宋体" w:cs="宋体"/>
          <w:lang w:eastAsia="zh-CN"/>
        </w:rPr>
        <w:t>，</w:t>
      </w:r>
      <w:r>
        <w:t>RAG</w:t>
      </w:r>
      <w:r>
        <w:rPr>
          <w:rFonts w:hint="eastAsia" w:ascii="宋体" w:hAnsi="宋体" w:eastAsia="宋体" w:cs="宋体"/>
          <w:lang w:eastAsia="zh-CN"/>
        </w:rPr>
        <w:t>）通过在生成前引入外部知识检索来缓解上述问题，已成为大模型落地知识密集型场景的主流技术路线。</w:t>
      </w:r>
    </w:p>
    <w:p w14:paraId="4458D1E8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与此同时，推理侧的部署形态正在发生变化：出于数据隐私、网络条件与响应时延的考虑，越来越多的应用要求模型能够在本地或边缘设备上离线运行。这一趋势与</w:t>
      </w:r>
      <w:r>
        <w:t xml:space="preserve"> RAG </w:t>
      </w:r>
      <w:r>
        <w:rPr>
          <w:rFonts w:hint="eastAsia" w:ascii="宋体" w:hAnsi="宋体" w:eastAsia="宋体" w:cs="宋体"/>
          <w:lang w:eastAsia="zh-CN"/>
        </w:rPr>
        <w:t>的组合带来一个直接矛盾</w:t>
      </w:r>
      <w:r>
        <w:t>——</w:t>
      </w:r>
      <w:r>
        <w:rPr>
          <w:rFonts w:hint="eastAsia" w:ascii="宋体" w:hAnsi="宋体" w:eastAsia="宋体" w:cs="宋体"/>
          <w:lang w:eastAsia="zh-CN"/>
        </w:rPr>
        <w:t>检索会增加时延与内存占用，而端侧设备的算力与内存都相当有限。因此，如何让</w:t>
      </w:r>
      <w:r>
        <w:t xml:space="preserve"> RAG </w:t>
      </w:r>
      <w:r>
        <w:rPr>
          <w:rFonts w:hint="eastAsia" w:ascii="宋体" w:hAnsi="宋体" w:eastAsia="宋体" w:cs="宋体"/>
          <w:lang w:eastAsia="zh-CN"/>
        </w:rPr>
        <w:t>在端侧跑得动、跑得准、跑得快，是一个兼具研究价值与工程价值的问题。</w:t>
      </w:r>
    </w:p>
    <w:p w14:paraId="17B3C537">
      <w:pPr>
        <w:pStyle w:val="00000c"/>
      </w:pPr>
      <w:r>
        <w:rPr>
          <w:rFonts w:hint="eastAsia" w:ascii="宋体" w:hAnsi="宋体" w:eastAsia="宋体" w:cs="宋体"/>
          <w:b w:val="1"/>
          <w:color w:val="000000"/>
          <w:sz w:val="28"/>
          <w:lang w:eastAsia="zh-CN"/>
        </w:rPr>
        <w:t>（二）国内外研究现状</w:t>
      </w:r>
    </w:p>
    <w:p w14:paraId="51E50B9E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现有工作可归纳为三条相对独立的线索。</w:t>
      </w:r>
    </w:p>
    <w:p w14:paraId="42808CA6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第一条线索是检索增强生成的技术演进。早期方案采用固定流程，即先检索固定条数文档、再拼接生成；后续研究在检索质量上持续改进，引入混合检索（稠密向量与稀疏检索结合）、重排序模型、查询改写等策略。近两年出现的一个重要转向是</w:t>
      </w:r>
      <w:r>
        <w:rPr>
          <w:rFonts w:hint="eastAsia" w:ascii="宋体" w:hAnsi="宋体" w:eastAsia="宋体" w:cs="宋体"/>
          <w:b w:val="1"/>
          <w:lang w:eastAsia="zh-CN"/>
        </w:rPr>
        <w:t>自适应检索</w:t>
      </w:r>
      <w:r>
        <w:rPr>
          <w:rFonts w:hint="eastAsia" w:ascii="宋体" w:hAnsi="宋体" w:eastAsia="宋体" w:cs="宋体"/>
          <w:lang w:eastAsia="zh-CN"/>
        </w:rPr>
        <w:t>：由模型自行判断当前问题是否需要检索、需要检索几轮，从而避免无差别检索带来的额外开销与噪声引入。与之并行的还有面向多跳推理的图结构检索增强方向。</w:t>
      </w:r>
    </w:p>
    <w:p w14:paraId="1F80B0A6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第二条线索是大模型轻量化技术。量化是最成熟的一类方法，训练后量化（</w:t>
      </w:r>
      <w:r>
        <w:t>Post-Training Quantization</w:t>
      </w:r>
      <w:r>
        <w:rPr>
          <w:rFonts w:hint="eastAsia" w:ascii="宋体" w:hAnsi="宋体" w:eastAsia="宋体" w:cs="宋体"/>
          <w:lang w:eastAsia="zh-CN"/>
        </w:rPr>
        <w:t>，</w:t>
      </w:r>
      <w:r>
        <w:t>PTQ</w:t>
      </w:r>
      <w:r>
        <w:rPr>
          <w:rFonts w:hint="eastAsia" w:ascii="宋体" w:hAnsi="宋体" w:eastAsia="宋体" w:cs="宋体"/>
          <w:lang w:eastAsia="zh-CN"/>
        </w:rPr>
        <w:t>）中的</w:t>
      </w:r>
      <w:r>
        <w:t xml:space="preserve"> AWQ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GPTQ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GGUF </w:t>
      </w:r>
      <w:r>
        <w:rPr>
          <w:rFonts w:hint="eastAsia" w:ascii="宋体" w:hAnsi="宋体" w:eastAsia="宋体" w:cs="宋体"/>
          <w:lang w:eastAsia="zh-CN"/>
        </w:rPr>
        <w:t>等方案已具备较好的工程可用性；此外还有知识蒸馏、结构化与非结构化剪枝、低秩适配等路径。在推理阶段，</w:t>
      </w:r>
      <w:r>
        <w:t xml:space="preserve">KV Cache </w:t>
      </w:r>
      <w:r>
        <w:rPr>
          <w:rFonts w:hint="eastAsia" w:ascii="宋体" w:hAnsi="宋体" w:eastAsia="宋体" w:cs="宋体"/>
          <w:lang w:eastAsia="zh-CN"/>
        </w:rPr>
        <w:t>量化、投机解码等技术进一步压缩了显存占用并提升吞吐。</w:t>
      </w:r>
    </w:p>
    <w:p w14:paraId="3E3ECC2B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第三条线索是端侧与边缘智能。该方向关注在受限算力设备上部署模型，强调离线可用性、隐私保护与能耗约束，相关研究多集中于视觉模型，面向大语言模型与</w:t>
      </w:r>
      <w:r>
        <w:t xml:space="preserve"> RAG </w:t>
      </w:r>
      <w:r>
        <w:rPr>
          <w:rFonts w:hint="eastAsia" w:ascii="宋体" w:hAnsi="宋体" w:eastAsia="宋体" w:cs="宋体"/>
          <w:lang w:eastAsia="zh-CN"/>
        </w:rPr>
        <w:t>全链路的端侧研究相对较少。</w:t>
      </w:r>
    </w:p>
    <w:p w14:paraId="7172B890">
      <w:pPr>
        <w:pBdr>
          <w:left w:val="single" w:color="888888" w:sz="18" w:space="0"/>
        </w:pBdr>
        <w:ind w:firstLine="480"/>
        <w:jc w:val="left"/>
      </w:pPr>
      <w:r>
        <w:t>  </w:t>
      </w:r>
      <w:r>
        <w:rPr>
          <w:rFonts w:hint="eastAsia" w:ascii="宋体" w:hAnsi="宋体" w:eastAsia="宋体" w:cs="宋体"/>
          <w:lang w:eastAsia="zh-CN"/>
        </w:rPr>
        <w:t>文献标注要求：本节三条线索中的每一处论断，均须在定稿时对应到具体文献（作者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年份），并在文末参考文献中给出完整条目。文献检索方向为检索增强生成综述、自适应检索方法、模型量化方法、端侧大模型部署。此处不预先填写引用条目，以避免使用未经本人核对的文献。</w:t>
      </w:r>
    </w:p>
    <w:p w14:paraId="785B8604">
      <w:pPr>
        <w:pStyle w:val="00000c"/>
      </w:pPr>
      <w:r>
        <w:rPr>
          <w:rFonts w:hint="eastAsia" w:ascii="宋体" w:hAnsi="宋体" w:eastAsia="宋体" w:cs="宋体"/>
          <w:b w:val="1"/>
          <w:color w:val="000000"/>
          <w:sz w:val="28"/>
          <w:lang w:eastAsia="zh-CN"/>
        </w:rPr>
        <w:t>（三）存在问题与研究空白</w:t>
      </w:r>
    </w:p>
    <w:p w14:paraId="4E7880D2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综合上述现状，可以识别出三点值得研究但尚不充分的空白。</w:t>
      </w:r>
    </w:p>
    <w:p w14:paraId="103BFC01">
      <w:pPr>
        <w:pStyle w:val="000032"/>
        <w:numPr>
          <w:ilvl w:val="0"/>
          <w:numId w:val="1"/>
        </w:numPr>
        <w:spacing w:after="60"/>
        <w:jc w:val="left"/>
      </w:pPr>
      <w:r>
        <w:rPr>
          <w:rFonts w:hint="eastAsia" w:ascii="宋体" w:hAnsi="宋体" w:eastAsia="宋体" w:cs="宋体"/>
          <w:b w:val="1"/>
          <w:lang w:eastAsia="zh-CN"/>
        </w:rPr>
        <w:t>检索策略与压缩策略缺乏联合研究。</w:t>
      </w:r>
      <w:r>
        <w:rPr>
          <w:rFonts w:hint="eastAsia" w:ascii="宋体" w:hAnsi="宋体" w:eastAsia="宋体" w:cs="宋体"/>
          <w:lang w:eastAsia="zh-CN"/>
        </w:rPr>
        <w:t>二者现有研究基本各自推进：检索侧优化检索质量与时延，压缩侧优化模型体积与速度。但量化会改变模型的判断能力，进而影响智能体式检索的触发判据</w:t>
      </w:r>
      <w:r>
        <w:rPr>
          <w:rFonts w:hint="eastAsia" w:ascii="宋体" w:hAnsi="宋体" w:eastAsia="宋体" w:cs="宋体"/>
          <w:lang w:eastAsia="zh-CN"/>
        </w:rPr>
        <w:t>；反过来，检索引入的上下文长度又会放大量化模型在长上下文下的性能衰减。这种叠加效应目前缺少系统性实验结论。</w:t>
      </w:r>
    </w:p>
    <w:p w14:paraId="483667BB">
      <w:pPr>
        <w:pStyle w:val="000032"/>
        <w:numPr>
          <w:ilvl w:val="0"/>
          <w:numId w:val="1"/>
        </w:numPr>
        <w:spacing w:after="60"/>
        <w:jc w:val="left"/>
      </w:pPr>
      <w:r>
        <w:rPr>
          <w:rFonts w:hint="eastAsia" w:ascii="宋体" w:hAnsi="宋体" w:eastAsia="宋体" w:cs="宋体"/>
          <w:b w:val="1"/>
          <w:lang w:eastAsia="zh-CN"/>
        </w:rPr>
        <w:t>缺少面向端侧的质量与效率联合评测口径。</w:t>
      </w:r>
      <w:r>
        <w:rPr>
          <w:rFonts w:hint="eastAsia" w:ascii="宋体" w:hAnsi="宋体" w:eastAsia="宋体" w:cs="宋体"/>
          <w:lang w:eastAsia="zh-CN"/>
        </w:rPr>
        <w:t>现有</w:t>
      </w:r>
      <w:r>
        <w:t xml:space="preserve"> RAG </w:t>
      </w:r>
      <w:r>
        <w:rPr>
          <w:rFonts w:hint="eastAsia" w:ascii="宋体" w:hAnsi="宋体" w:eastAsia="宋体" w:cs="宋体"/>
          <w:lang w:eastAsia="zh-CN"/>
        </w:rPr>
        <w:t>评测多针对云端大模型，评价维度以答案准确率为主；当系统被压缩到端侧后，精度折损多少、时延降低多少、内存占用多少应当被放在同一张表里比较，而现有工作少有给出这样的联合报告。</w:t>
      </w:r>
    </w:p>
    <w:p w14:paraId="676BD307">
      <w:pPr>
        <w:pStyle w:val="000032"/>
        <w:numPr>
          <w:ilvl w:val="0"/>
          <w:numId w:val="1"/>
        </w:numPr>
        <w:spacing w:after="60"/>
        <w:jc w:val="left"/>
      </w:pPr>
      <w:r>
        <w:rPr>
          <w:rFonts w:hint="eastAsia" w:ascii="宋体" w:hAnsi="宋体" w:eastAsia="宋体" w:cs="宋体"/>
          <w:b w:val="1"/>
          <w:lang w:eastAsia="zh-CN"/>
        </w:rPr>
        <w:t>端到端部署实测数据不足。</w:t>
      </w:r>
      <w:r>
        <w:rPr>
          <w:rFonts w:hint="eastAsia" w:ascii="宋体" w:hAnsi="宋体" w:eastAsia="宋体" w:cs="宋体"/>
          <w:lang w:eastAsia="zh-CN"/>
        </w:rPr>
        <w:t>多数研究报告的是模型层面的指标，缺少从检索、生成到硬件推理的端到端实测数据，难以支撑工程选型。</w:t>
      </w:r>
    </w:p>
    <w:p w14:paraId="51AC2B13">
      <w:pPr>
        <w:pStyle w:val="00000c"/>
      </w:pPr>
      <w:r>
        <w:rPr>
          <w:rFonts w:hint="eastAsia" w:ascii="宋体" w:hAnsi="宋体" w:eastAsia="宋体" w:cs="宋体"/>
          <w:b w:val="1"/>
          <w:color w:val="000000"/>
          <w:sz w:val="28"/>
          <w:lang w:eastAsia="zh-CN"/>
        </w:rPr>
        <w:t>（四）研究意义</w:t>
      </w:r>
    </w:p>
    <w:p w14:paraId="611F4A42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理论层面，本研究尝试回答检索策略与模型压缩策略如何相互影响这一问题，为端侧</w:t>
      </w:r>
      <w:r>
        <w:t xml:space="preserve"> RAG </w:t>
      </w:r>
      <w:r>
        <w:rPr>
          <w:rFonts w:hint="eastAsia" w:ascii="宋体" w:hAnsi="宋体" w:eastAsia="宋体" w:cs="宋体"/>
          <w:lang w:eastAsia="zh-CN"/>
        </w:rPr>
        <w:t>的方案选型提供可复现的实验依据。应用层面，研究成果可直接用于离线知识问答、内网文档助手等对数据隐私与响应时延敏感的场景，具有较强的落地参考价值。</w:t>
      </w:r>
    </w:p>
    <w:p w14:paraId="76362BD6">
      <w:pPr>
        <w:pStyle w:val="00000a"/>
      </w:pPr>
      <w:bookmarkStart w:id="4" w:name="_Toc_sec_3"/>
      <w:r>
        <w:rPr>
          <w:rFonts w:hint="eastAsia" w:ascii="宋体" w:hAnsi="宋体" w:eastAsia="宋体" w:cs="宋体"/>
          <w:b w:val="1"/>
          <w:color w:val="000000"/>
          <w:sz w:val="30"/>
          <w:lang w:eastAsia="zh-CN"/>
        </w:rPr>
        <w:t>三、研究基础与可行性分析</w:t>
      </w:r>
      <w:bookmarkEnd w:id="4"/>
    </w:p>
    <w:p w14:paraId="3ECA10DF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本部分回答能不能做，从知识基础、软硬件条件、数据可行性、时间可行性与风险可控性五个方面逐项对照。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79F06C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可行性维度</w:t>
            </w:r>
          </w:p>
        </w:tc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2D17D5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现状说明</w:t>
            </w:r>
          </w:p>
        </w:tc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4E1741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对研究的支撑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D7FECC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知识基础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01F233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已系统学习机器学习、深度学习与自然语言处理相关课程，具备  Python  编程与模型训练调试经验，有大语言模型应用开发实践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58515C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支撑研究内容第二至第四部分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179DD0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软硬件条件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92B6ED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本地具备  GPU  计算设备，可用于模型量化与校准；可凭在校学生身份申请云  GPU  资源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39CDD3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支撑量化校准与对比实验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7E9047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数据可行性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DCCA82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全部数据来自公开评测集与公开文档，均可公开下载或脚本化获取，不依赖现场采集与人工授权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7A91A4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支撑研究内容第一部分，数据获取风险低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A454A9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时间可行性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F6991A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距离开题约两个月，可用于文献调研与方案设计；开题后仍有完整学期用于实现与实验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D8418B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与第九部分进度安排匹配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929D86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风险可控性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96E2CA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全部实验在本地与云上完成，不涉及硬件实物与外部协作；技术选型以成熟开源方案为优先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AFDD7F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降低不可控因素</w:t>
            </w:r>
          </w:p>
        </w:tc>
      </w:tr>
    </w:tbl>
    <w:p w14:paraId="38483DB9">
      <w:bookmarkStart w:id="5" w:name="sec-4"/>
      <w:bookmarkEnd w:id="5"/>
    </w:p>
    <w:p w14:paraId="15B8C424">
      <w:pPr>
        <w:pStyle w:val="00000a"/>
      </w:pPr>
      <w:bookmarkStart w:id="6" w:name="_Toc_sec_4"/>
      <w:r>
        <w:rPr>
          <w:rFonts w:hint="eastAsia" w:ascii="宋体" w:hAnsi="宋体" w:eastAsia="宋体" w:cs="宋体"/>
          <w:b w:val="1"/>
          <w:color w:val="000000"/>
          <w:sz w:val="30"/>
          <w:lang w:eastAsia="zh-CN"/>
        </w:rPr>
        <w:t>四、研究内容</w:t>
      </w:r>
      <w:bookmarkEnd w:id="6"/>
    </w:p>
    <w:p w14:paraId="43DA8629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本部分回答做什么，先给出研究目标与拟解决的关键问题，再拆分为四个可独立验证的研究内容。</w:t>
      </w:r>
    </w:p>
    <w:p w14:paraId="315DA64D">
      <w:pPr>
        <w:pStyle w:val="00000c"/>
      </w:pPr>
      <w:r>
        <w:rPr>
          <w:rFonts w:hint="eastAsia" w:ascii="宋体" w:hAnsi="宋体" w:eastAsia="宋体" w:cs="宋体"/>
          <w:b w:val="1"/>
          <w:color w:val="000000"/>
          <w:sz w:val="28"/>
          <w:lang w:eastAsia="zh-CN"/>
        </w:rPr>
        <w:t>（一）研究目标</w:t>
      </w:r>
    </w:p>
    <w:p w14:paraId="2263A113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构建一套可在端侧设备离线运行的轻量化检索增强生成原型系统，并给出量化压缩与智能体式检索策略对端到端</w:t>
      </w:r>
      <w:r>
        <w:rPr>
          <w:rFonts w:hint="eastAsia" w:ascii="宋体" w:hAnsi="宋体" w:eastAsia="宋体" w:cs="宋体"/>
          <w:lang w:eastAsia="zh-CN"/>
        </w:rPr>
        <w:t>质量与效率影响的实验结论。</w:t>
      </w:r>
    </w:p>
    <w:p w14:paraId="17F2A9DE">
      <w:pPr>
        <w:pStyle w:val="00000c"/>
      </w:pPr>
      <w:r>
        <w:rPr>
          <w:rFonts w:hint="eastAsia" w:ascii="宋体" w:hAnsi="宋体" w:eastAsia="宋体" w:cs="宋体"/>
          <w:b w:val="1"/>
          <w:color w:val="000000"/>
          <w:sz w:val="28"/>
          <w:lang w:eastAsia="zh-CN"/>
        </w:rPr>
        <w:t>（二）拟解决的关键问题</w:t>
      </w:r>
    </w:p>
    <w:p w14:paraId="09D9EE0A">
      <w:pPr>
        <w:pStyle w:val="000032"/>
        <w:numPr>
          <w:ilvl w:val="0"/>
          <w:numId w:val="2"/>
        </w:numPr>
        <w:spacing w:after="60"/>
        <w:jc w:val="left"/>
      </w:pPr>
      <w:r>
        <w:rPr>
          <w:rFonts w:hint="eastAsia" w:ascii="宋体" w:hAnsi="宋体" w:eastAsia="宋体" w:cs="宋体"/>
          <w:lang w:eastAsia="zh-CN"/>
        </w:rPr>
        <w:t>量化压缩与智能体式检索的耦合问题</w:t>
      </w:r>
      <w:r>
        <w:rPr>
          <w:rFonts w:hint="eastAsia" w:ascii="宋体" w:hAnsi="宋体" w:eastAsia="宋体" w:cs="宋体"/>
          <w:lang w:eastAsia="zh-CN"/>
        </w:rPr>
        <w:t>：如何描述压缩导致的模型能力变化对检索触发判据的影响，并给出可测的刻画方式；</w:t>
      </w:r>
    </w:p>
    <w:p w14:paraId="3F010BDD">
      <w:pPr>
        <w:pStyle w:val="000032"/>
        <w:numPr>
          <w:ilvl w:val="0"/>
          <w:numId w:val="2"/>
        </w:numPr>
        <w:spacing w:after="60"/>
        <w:jc w:val="left"/>
      </w:pPr>
      <w:r>
        <w:rPr>
          <w:rFonts w:hint="eastAsia" w:ascii="宋体" w:hAnsi="宋体" w:eastAsia="宋体" w:cs="宋体"/>
          <w:lang w:eastAsia="zh-CN"/>
        </w:rPr>
        <w:t>端侧资源约束下的索引与模型协同问题：在内存受限条件下，如何确定索引压缩比与检索规模的合理配置；</w:t>
      </w:r>
    </w:p>
    <w:p w14:paraId="7DA49C14">
      <w:pPr>
        <w:pStyle w:val="000032"/>
        <w:numPr>
          <w:ilvl w:val="0"/>
          <w:numId w:val="2"/>
        </w:numPr>
        <w:spacing w:after="60"/>
        <w:jc w:val="left"/>
      </w:pPr>
      <w:r>
        <w:rPr>
          <w:rFonts w:hint="eastAsia" w:ascii="宋体" w:hAnsi="宋体" w:eastAsia="宋体" w:cs="宋体"/>
          <w:lang w:eastAsia="zh-CN"/>
        </w:rPr>
        <w:t>可信生成的度量问题：如何对引用正确率、拒答率与幻觉率给出可复现的度量口径，使不同方案可在同一标准下比较。</w:t>
      </w:r>
    </w:p>
    <w:p w14:paraId="2F830FEF">
      <w:pPr>
        <w:pStyle w:val="00000c"/>
      </w:pPr>
      <w:r>
        <w:rPr>
          <w:rFonts w:hint="eastAsia" w:ascii="宋体" w:hAnsi="宋体" w:eastAsia="宋体" w:cs="宋体"/>
          <w:b w:val="1"/>
          <w:color w:val="000000"/>
          <w:sz w:val="28"/>
          <w:lang w:eastAsia="zh-CN"/>
        </w:rPr>
        <w:t>（三）研究内容分解</w:t>
      </w:r>
    </w:p>
    <w:p w14:paraId="5056264C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研究内容分为四个部分，各部分均产出可独立验证的结果。</w:t>
      </w:r>
    </w:p>
    <w:p w14:paraId="0E2C7D4B">
      <w:pPr>
        <w:ind w:firstLine="480"/>
        <w:jc w:val="left"/>
      </w:pPr>
      <w:r>
        <w:rPr>
          <w:rFonts w:hint="eastAsia" w:ascii="宋体" w:hAnsi="宋体" w:eastAsia="宋体" w:cs="宋体"/>
          <w:b w:val="1"/>
          <w:lang w:eastAsia="zh-CN"/>
        </w:rPr>
        <w:t>第一部分，免采集数据与评测集构建。</w:t>
      </w:r>
      <w:r>
        <w:rPr>
          <w:rFonts w:hint="eastAsia" w:ascii="宋体" w:hAnsi="宋体" w:eastAsia="宋体" w:cs="宋体"/>
          <w:lang w:eastAsia="zh-CN"/>
        </w:rPr>
        <w:t>以公开评测集与公开文档语料为基础，构建本研究的问答评测集与知识库，明确数据划分、问题类型分布与标注规范，保证实验可复现、可追溯。</w:t>
      </w:r>
    </w:p>
    <w:p w14:paraId="2DE6E3FE">
      <w:pPr>
        <w:ind w:firstLine="480"/>
        <w:jc w:val="left"/>
      </w:pPr>
      <w:r>
        <w:rPr>
          <w:rFonts w:hint="eastAsia" w:ascii="宋体" w:hAnsi="宋体" w:eastAsia="宋体" w:cs="宋体"/>
          <w:b w:val="1"/>
          <w:lang w:eastAsia="zh-CN"/>
        </w:rPr>
        <w:t>第二部分，端侧向量索引压缩与检索策略。</w:t>
      </w:r>
      <w:r>
        <w:rPr>
          <w:rFonts w:hint="eastAsia" w:ascii="宋体" w:hAnsi="宋体" w:eastAsia="宋体" w:cs="宋体"/>
          <w:lang w:eastAsia="zh-CN"/>
        </w:rPr>
        <w:t>研究向量索引的压缩方法（如乘积量化、二值化嵌入、降维嵌入）在压缩比与召回率之间的权衡，并对比稠密检索、稀疏检索与混合检索在端侧条件下的表现。</w:t>
      </w:r>
    </w:p>
    <w:p w14:paraId="355E45A2">
      <w:pPr>
        <w:ind w:firstLine="480"/>
        <w:jc w:val="left"/>
      </w:pPr>
      <w:r>
        <w:rPr>
          <w:rFonts w:hint="eastAsia" w:ascii="宋体" w:hAnsi="宋体" w:eastAsia="宋体" w:cs="宋体"/>
          <w:b w:val="1"/>
          <w:lang w:eastAsia="zh-CN"/>
        </w:rPr>
        <w:t>第三部分，生成模型量化与能力保持。</w:t>
      </w:r>
      <w:r>
        <w:rPr>
          <w:rFonts w:hint="eastAsia" w:ascii="宋体" w:hAnsi="宋体" w:eastAsia="宋体" w:cs="宋体"/>
          <w:lang w:eastAsia="zh-CN"/>
        </w:rPr>
        <w:t>选用参数规模适中的开源中文模型，比较不同位宽与不同量化方案下的能力折损，重点考察模型在长上下文条件下的性能变化，并尝试用校准集与分层量化的方式减小折损。</w:t>
      </w:r>
    </w:p>
    <w:p w14:paraId="2B48036F">
      <w:pPr>
        <w:ind w:firstLine="480"/>
        <w:jc w:val="left"/>
      </w:pPr>
      <w:r>
        <w:rPr>
          <w:rFonts w:hint="eastAsia" w:ascii="宋体" w:hAnsi="宋体" w:eastAsia="宋体" w:cs="宋体"/>
          <w:b w:val="1"/>
          <w:lang w:eastAsia="zh-CN"/>
        </w:rPr>
        <w:t>第四部分，智能体式检索策略与可信生成。智能体式检索指由模型自主规划检索行为的一类方法，是否检索、检索几轮即其核心判据，可理解为自适应检索在工具调用与结果自检环节上的延伸。设计智能体式检索流程：</w:t>
      </w:r>
      <w:r>
        <w:rPr>
          <w:rFonts w:hint="eastAsia" w:ascii="宋体" w:hAnsi="宋体" w:eastAsia="宋体" w:cs="宋体"/>
          <w:b w:val="1"/>
          <w:lang w:eastAsia="zh-CN"/>
        </w:rPr>
        <w:t>由模型先规划检索策略、判断是否需要检索与检索轮数，检索后对候选片段做自检；</w:t>
      </w:r>
      <w:r>
        <w:rPr>
          <w:rFonts w:hint="eastAsia" w:ascii="宋体" w:hAnsi="宋体" w:eastAsia="宋体" w:cs="宋体"/>
          <w:lang w:eastAsia="zh-CN"/>
        </w:rPr>
        <w:t>同时引入引用溯源与拒答机制，对无法从知识库得到支撑的问题给出明确拒答，以降低幻觉风险。</w:t>
      </w:r>
    </w:p>
    <w:p w14:paraId="05F65902">
      <w:pPr>
        <w:pStyle w:val="00000a"/>
      </w:pPr>
      <w:bookmarkStart w:id="7" w:name="_Toc_sec_5"/>
      <w:r>
        <w:rPr>
          <w:rFonts w:hint="eastAsia" w:ascii="宋体" w:hAnsi="宋体" w:eastAsia="宋体" w:cs="宋体"/>
          <w:b w:val="1"/>
          <w:color w:val="000000"/>
          <w:sz w:val="30"/>
          <w:lang w:eastAsia="zh-CN"/>
        </w:rPr>
        <w:t>五、技术路线与实施方案</w:t>
      </w:r>
      <w:bookmarkEnd w:id="7"/>
    </w:p>
    <w:p w14:paraId="3C9326F3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本部分回答怎么做，给出系统分层结构、推进阶段与关键工具选型。</w:t>
      </w:r>
    </w:p>
    <w:p w14:paraId="6AF4B740">
      <w:pPr>
        <w:pStyle w:val="00000c"/>
      </w:pPr>
      <w:r>
        <w:rPr>
          <w:rFonts w:hint="eastAsia" w:ascii="宋体" w:hAnsi="宋体" w:eastAsia="宋体" w:cs="宋体"/>
          <w:b w:val="1"/>
          <w:color w:val="000000"/>
          <w:sz w:val="28"/>
          <w:lang w:eastAsia="zh-CN"/>
        </w:rPr>
        <w:t>（一）总体技术路线</w:t>
      </w:r>
    </w:p>
    <w:p w14:paraId="1AEFB8A9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系统按四层组织，每层均定义明确的输入输出与评估指标。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C81D77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层次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9F2D99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主要职责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4EB182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关键输入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3D8C9F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关键输出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ED9AFC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数据层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4BD3F4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语料获取、清洗、分块、向量化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332B4C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公开文档与评测集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CDACB4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知识库索引、评测集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7D9856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检索层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37B57C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索引压缩、混合检索、重排序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64E703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用户问题、知识库索引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158737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候选文档片段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65A014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生成层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4810D0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量化模型推理、引用生成、拒答判定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5A3947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问题与候选片段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257DCB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带引用的答案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65C86D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系统层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C8122B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端到端调度与部署实测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073B16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以上各层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ACBB83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原型系统与实测数据</w:t>
            </w:r>
          </w:p>
        </w:tc>
      </w:tr>
    </w:tbl>
    <w:p w14:paraId="04DDD655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技术路线按基线复现、单点改进、联合优化、端到端实测四阶段推进，避免一次性引入过多变量导致实验不可归因。</w:t>
      </w:r>
    </w:p>
    <w:p w14:paraId="5086CF23">
      <w:pPr>
        <w:pStyle w:val="00000c"/>
      </w:pPr>
      <w:r>
        <w:rPr>
          <w:rFonts w:hint="eastAsia" w:ascii="宋体" w:hAnsi="宋体" w:eastAsia="宋体" w:cs="宋体"/>
          <w:b w:val="1"/>
          <w:color w:val="000000"/>
          <w:sz w:val="28"/>
          <w:lang w:eastAsia="zh-CN"/>
        </w:rPr>
        <w:t>（二）关键技术与工具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A4AF6A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环节</w:t>
            </w:r>
          </w:p>
        </w:tc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67D00F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候选方案</w:t>
            </w:r>
          </w:p>
        </w:tc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370D0C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选型说明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F49817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开发语言与框架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2A73C7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Python 、 PyTorch 、 Transformers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3A3B3D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生态成熟，便于复现与对比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E57121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检索与索引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EEE898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FAISS  或同类向量库；稠密嵌入与稀疏检索结合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48279A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支持索引压缩方案对比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1107E7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量化与部署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71011B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AWQ / GPTQ / GGUF ； llama.cpp  或同类端侧推理框架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7F488C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端侧可离线运行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767002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推理实测设备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A4CD2E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8GB  级设备与  16GB  级设备两档候选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EDAF61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前者验证能否运行，后者验证能否流畅运行；最终选型依据实测内存占用确定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262728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评测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E74734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自建评测脚本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D83610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保证同一问题集在不同配置下可比较</w:t>
            </w:r>
          </w:p>
        </w:tc>
      </w:tr>
    </w:tbl>
    <w:p w14:paraId="77B4641A">
      <w:bookmarkStart w:id="8" w:name="sec-6"/>
      <w:bookmarkEnd w:id="8"/>
    </w:p>
    <w:p w14:paraId="6D5A2A28">
      <w:pPr>
        <w:pStyle w:val="00000a"/>
      </w:pPr>
      <w:bookmarkStart w:id="9" w:name="_Toc_sec_6"/>
      <w:r>
        <w:rPr>
          <w:rFonts w:hint="eastAsia" w:ascii="宋体" w:hAnsi="宋体" w:eastAsia="宋体" w:cs="宋体"/>
          <w:b w:val="1"/>
          <w:color w:val="000000"/>
          <w:sz w:val="30"/>
          <w:lang w:eastAsia="zh-CN"/>
        </w:rPr>
        <w:t>六、实验设计与评估指标</w:t>
      </w:r>
      <w:bookmarkEnd w:id="9"/>
    </w:p>
    <w:p w14:paraId="3411722B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本部分回答怎么证明做得好，说明数据来源、分层指标体系以及对比方案与消融实验设计。</w:t>
      </w:r>
    </w:p>
    <w:p w14:paraId="3AE62A0F">
      <w:pPr>
        <w:pStyle w:val="00000c"/>
      </w:pPr>
      <w:r>
        <w:rPr>
          <w:rFonts w:hint="eastAsia" w:ascii="宋体" w:hAnsi="宋体" w:eastAsia="宋体" w:cs="宋体"/>
          <w:b w:val="1"/>
          <w:color w:val="000000"/>
          <w:sz w:val="28"/>
          <w:lang w:eastAsia="zh-CN"/>
        </w:rPr>
        <w:t>（一）数据来源</w:t>
      </w:r>
    </w:p>
    <w:p w14:paraId="53DD8EAE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本研究不依赖现场采集或人工授权的私有数据，全部数据来源如下。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3A6F68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用途</w:t>
            </w:r>
          </w:p>
        </w:tc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931FB3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具体来源</w:t>
            </w:r>
          </w:p>
        </w:tc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584FC5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获取方式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5A7648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知识问答评测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C8C9B0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C-Eval 、 CMMLU  等中文综合评价集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6E72B8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公开下载，按学科与难度分子集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74AB2A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语言理解评测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02A332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CLUE  系列中文理解任务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7329B9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公开下载，取与问答相关的任务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64D135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长上下文测试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E6FF7F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LongBench  等长文本评测集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ECD09A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公开下载，考察量化后模型的长上下文能力变化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4D945E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知识库语料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93B247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公开法规文本、公开教材、开源项目文档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F1632C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脚本化获取与清洗，记录来源与版本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71E39B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硬件实测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DCE5ED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本机  GPU （训练与量化校准）、端侧设备（推理实测）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6E01A2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自有设备</w:t>
            </w:r>
          </w:p>
        </w:tc>
      </w:tr>
    </w:tbl>
    <w:p w14:paraId="0CD79902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数据规模与具体子集划分在开题后第一周内确定，并在论文中完整披露，包括各子集的样本量、问题类型分布、知识库文档数量与分块策略。</w:t>
      </w:r>
    </w:p>
    <w:p w14:paraId="72879537">
      <w:pPr>
        <w:pStyle w:val="00000c"/>
      </w:pPr>
      <w:r>
        <w:rPr>
          <w:rFonts w:hint="eastAsia" w:ascii="宋体" w:hAnsi="宋体" w:eastAsia="宋体" w:cs="宋体"/>
          <w:b w:val="1"/>
          <w:color w:val="000000"/>
          <w:sz w:val="28"/>
          <w:lang w:eastAsia="zh-CN"/>
        </w:rPr>
        <w:t>（二）指标体系</w:t>
      </w:r>
    </w:p>
    <w:p w14:paraId="45EA1B33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指标按层设计，最终汇总为一张质量与效率联合表。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82FB79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层次</w:t>
            </w:r>
          </w:p>
        </w:tc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A36347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指标</w:t>
            </w:r>
          </w:p>
        </w:tc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FA08C9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度量口径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337D72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检索层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ADFD6A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Recall@k 、 MRR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1FCFBC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以标注的相关片段为参照计算召回与排序质量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EF1F9D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检索层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585626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索引体积、检索时延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6315BA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索引文件实际体积；单次检索耗时取多次运行均值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EA7155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生成层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6A10E6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答案准确率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868319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与参考答案比对或按要点覆盖率评分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36A403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生成层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BFFC97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引用正确率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6310C7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答案所引片段能否被检索结果支持，按可支持引用数除以总引用数统计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AA16B9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生成层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B47F2E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拒答率、幻觉率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AD1AD6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拒答率按系统触发拒答的问题占比统计；幻觉率按答案含无法被知识库支撑的事实陈述的问题占比统计，由双人标注判定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DA2B73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生成层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02BBCC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生成速度、峰值内存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CAD165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每秒生成词元数；推理过程峰值内存占用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BC55BC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压缩层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114D0D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量化前后精度折损率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C86F1B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同一评测集上量化前后主指标的相对变化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869FFC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策略层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8190DA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检索触发率、平均检索轮数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AA2DAE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自适应策略下实际触发检索的问题占比与平均轮数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F0B8AB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系统层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2C2CB6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端到端时延、功耗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77480F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端侧实测，作为工程选型依据</w:t>
            </w:r>
          </w:p>
        </w:tc>
      </w:tr>
    </w:tbl>
    <w:p w14:paraId="5DF89026">
      <w:pPr>
        <w:pStyle w:val="00000c"/>
      </w:pPr>
      <w:r>
        <w:rPr>
          <w:rFonts w:hint="eastAsia" w:ascii="宋体" w:hAnsi="宋体" w:eastAsia="宋体" w:cs="宋体"/>
          <w:b w:val="1"/>
          <w:color w:val="000000"/>
          <w:sz w:val="28"/>
          <w:lang w:eastAsia="zh-CN"/>
        </w:rPr>
        <w:t>（三）对比方案与消融实验</w:t>
      </w:r>
    </w:p>
    <w:p w14:paraId="2C5BC3B8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对比方案设置四组，形成递进关系。第一组为不检索、直接生成，作为下限参照；第二组为固定流程</w:t>
      </w:r>
      <w:r>
        <w:t xml:space="preserve"> RAG</w:t>
      </w:r>
      <w:r>
        <w:rPr>
          <w:rFonts w:hint="eastAsia" w:ascii="宋体" w:hAnsi="宋体" w:eastAsia="宋体" w:cs="宋体"/>
          <w:lang w:eastAsia="zh-CN"/>
        </w:rPr>
        <w:t>，即固定检索条数，作为主流方案参照；第三组为本文的智能体式检索策略</w:t>
      </w:r>
      <w:r>
        <w:rPr>
          <w:rFonts w:hint="eastAsia" w:ascii="宋体" w:hAnsi="宋体" w:eastAsia="宋体" w:cs="宋体"/>
          <w:lang w:eastAsia="zh-CN"/>
        </w:rPr>
        <w:t>；第四组为智能体式检索与量化压缩联合配置的完整系统</w:t>
      </w:r>
      <w:r>
        <w:rPr>
          <w:rFonts w:hint="eastAsia" w:ascii="宋体" w:hAnsi="宋体" w:eastAsia="宋体" w:cs="宋体"/>
          <w:lang w:eastAsia="zh-CN"/>
        </w:rPr>
        <w:t>，用于考察叠加效应。</w:t>
      </w:r>
    </w:p>
    <w:p w14:paraId="415ECB6F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消融实验围绕四个变量展开，每个变量对应明确的观测指标：是否启用重排序，观测</w:t>
      </w:r>
      <w:r>
        <w:t xml:space="preserve"> Recall@k </w:t>
      </w:r>
      <w:r>
        <w:rPr>
          <w:rFonts w:hint="eastAsia" w:ascii="宋体" w:hAnsi="宋体" w:eastAsia="宋体" w:cs="宋体"/>
          <w:lang w:eastAsia="zh-CN"/>
        </w:rPr>
        <w:t>与答案准确率；是否启用拒答机制，观测幻觉率与拒答率；量化位宽变化，观测精度折损率与生成速度；索引压缩比变化，观测索引体积、检索时延与召回率。每次只变动一个变量，以保证结论可归因。</w:t>
      </w:r>
    </w:p>
    <w:p w14:paraId="5871E04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10" w:name="_Toc_sec_7"/>
      <w:r>
        <w:rPr>
          <w:rFonts w:hint="eastAsia"/>
          <w:b w:val="1"/>
          <w:sz w:val="32"/>
        </w:rPr>
        <w:t>七、演示方案与可视化设计</w:t>
      </w:r>
    </w:p>
    <w:p w14:paraId="7170A1B2">
      <w:r>
        <w:rPr>
          <w:rFonts w:hint="eastAsia"/>
          <w:b w:val="1"/>
        </w:rPr>
        <w:t>（一）为什么要单独设计演示</w:t>
      </w:r>
    </w:p>
    <w:p w14:paraId="02BC0483">
      <w:r>
        <w:rPr>
          <w:rFonts w:hint="eastAsia"/>
        </w:rPr>
        <w:t>本课题的输出以指标与对比表为主。如果答辩只展示数字，评委会看到结果，却看不到 AI 在过程中做了什么。因此把系统运行过程本身做成可视化对象：让检索命中、引用来源、是否拒答、时延与内存占用在同一界面上实时可见，做到不解释也能看懂。</w:t>
      </w:r>
    </w:p>
    <w:p w14:paraId="30C8F1B7">
      <w:r>
        <w:rPr>
          <w:rFonts w:hint="eastAsia"/>
          <w:b w:val="1"/>
        </w:rPr>
        <w:t>（二）演示系统形态</w:t>
      </w:r>
    </w:p>
    <w:p w14:paraId="5359AFC6">
      <w:r>
        <w:rPr>
          <w:rFonts w:hint="eastAsia"/>
        </w:rPr>
        <w:t>演示系统为本地离线 Web 演示台，浏览器打开即可运行，不依赖公网：</w:t>
      </w:r>
    </w:p>
    <w:p w14:paraId="6D23E6E0">
      <w:pPr>
        <w:numPr>
          <w:ilvl w:val="0"/>
          <w:numId w:val="3"/>
        </w:numPr>
      </w:pPr>
      <w:r>
        <w:rPr>
          <w:rFonts w:hint="eastAsia"/>
        </w:rPr>
        <w:t>左侧为提问区，输入自然语言问题；</w:t>
      </w:r>
    </w:p>
    <w:p w14:paraId="0FFF28ED">
      <w:pPr>
        <w:numPr>
          <w:ilvl w:val="0"/>
          <w:numId w:val="3"/>
        </w:numPr>
      </w:pPr>
      <w:r>
        <w:rPr>
          <w:rFonts w:hint="eastAsia"/>
        </w:rPr>
        <w:t>右侧为检索轨迹区，逐条显示命中的文档片段，并高亮答案实际引用的片段；</w:t>
      </w:r>
    </w:p>
    <w:p w14:paraId="3E5B2538">
      <w:pPr>
        <w:numPr>
          <w:ilvl w:val="0"/>
          <w:numId w:val="3"/>
        </w:numPr>
      </w:pPr>
      <w:r>
        <w:rPr>
          <w:rFonts w:hint="eastAsia"/>
        </w:rPr>
        <w:t>底部为实时读数条，显示端到端时延、峰值内存、本轮是否触发检索、检索轮数与是否触发拒答。</w:t>
      </w:r>
    </w:p>
    <w:p w14:paraId="13A3556B">
      <w:r>
        <w:rPr>
          <w:rFonts w:hint="eastAsia"/>
          <w:b w:val="1"/>
        </w:rPr>
        <w:t>（三）可现场切换的档位</w:t>
      </w:r>
    </w:p>
    <w:p w14:paraId="7F596653">
      <w:r>
        <w:rPr>
          <w:rFonts w:hint="eastAsia"/>
        </w:rPr>
        <w:t>演示台提供两个开关，答辩现场可直接切换：一是检索策略档位，取值为不检索、固定条数检索、智能体式检索，用于展示检索是否必要、检索几次由模型自行决定；二是量化档位，取值为 FP16、INT8、INT4，用于展示质量与速度的取舍。同一个问题在不同档位下的答案、引用与读数会同时变化，评委可在数秒内看到差异。</w:t>
      </w:r>
    </w:p>
    <w:p w14:paraId="164BA76A">
      <w:r>
        <w:rPr>
          <w:rFonts w:hint="eastAsia"/>
          <w:b w:val="1"/>
        </w:rPr>
        <w:t>（四）智能体检索轨迹可视化</w:t>
      </w:r>
    </w:p>
    <w:p w14:paraId="54669EC1">
      <w:r>
        <w:rPr>
          <w:rFonts w:hint="eastAsia"/>
        </w:rPr>
        <w:t>将一次问答的决策过程渲染为横向步骤条：理解问题、判断是否需要检索、生成检索式、命中片段、自检证据是否充分、追加检索或拒答、生成带引用的答案。每一步标注耗时；证据不足时，步骤条上直接显示追加检索或拒答分支。这一部分是演示的核心，它把 AI 在哪里起作用由一句说明变成一个可观察的过程。</w:t>
      </w:r>
    </w:p>
    <w:p w14:paraId="07B50C52">
      <w:r>
        <w:rPr>
          <w:rFonts w:hint="eastAsia"/>
          <w:b w:val="1"/>
        </w:rPr>
        <w:t>（五）答辩演示脚本</w:t>
      </w:r>
    </w:p>
    <w:p w14:paraId="7B823A0E">
      <w:pPr>
        <w:numPr>
          <w:ilvl w:val="0"/>
          <w:numId w:val="4"/>
        </w:numPr>
      </w:pPr>
      <w:r>
        <w:rPr>
          <w:rFonts w:hint="eastAsia"/>
        </w:rPr>
        <w:t>提一个知识库内可回答的问题，展示引用溯源与命中片段高亮；</w:t>
      </w:r>
    </w:p>
    <w:p w14:paraId="0678C9C4">
      <w:pPr>
        <w:numPr>
          <w:ilvl w:val="0"/>
          <w:numId w:val="4"/>
        </w:numPr>
      </w:pPr>
      <w:r>
        <w:rPr>
          <w:rFonts w:hint="eastAsia"/>
        </w:rPr>
        <w:t>提一个知识库外的问题，展示拒答分支；随后关闭拒答开关，对比同一问题在无拒答时的输出；</w:t>
      </w:r>
    </w:p>
    <w:p w14:paraId="5E395CFA">
      <w:pPr>
        <w:numPr>
          <w:ilvl w:val="0"/>
          <w:numId w:val="4"/>
        </w:numPr>
      </w:pPr>
      <w:r>
        <w:rPr>
          <w:rFonts w:hint="eastAsia"/>
        </w:rPr>
        <w:t>将量化档位由 INT8 切换到 INT4，就同一问题再问一次，对比答案差异与底部时延、内存读数；</w:t>
      </w:r>
    </w:p>
    <w:p w14:paraId="66F06A58">
      <w:pPr>
        <w:numPr>
          <w:ilvl w:val="0"/>
          <w:numId w:val="4"/>
        </w:numPr>
      </w:pPr>
      <w:r>
        <w:rPr>
          <w:rFonts w:hint="eastAsia"/>
        </w:rPr>
        <w:t>断开网络后重新提问，展示系统仍可离线运行；</w:t>
      </w:r>
    </w:p>
    <w:p w14:paraId="62794364">
      <w:pPr>
        <w:numPr>
          <w:ilvl w:val="0"/>
          <w:numId w:val="4"/>
        </w:numPr>
      </w:pPr>
      <w:r>
        <w:rPr>
          <w:rFonts w:hint="eastAsia"/>
        </w:rPr>
        <w:t>回到质量与效率联合表，说明演示中的每一次对比都对应表中的一行数据。</w:t>
      </w:r>
    </w:p>
    <w:p w14:paraId="58DB3512">
      <w:r>
        <w:rPr>
          <w:rFonts w:hint="eastAsia"/>
          <w:b w:val="1"/>
        </w:rPr>
        <w:t>（六）展示与实验的分工</w:t>
      </w:r>
    </w:p>
    <w:p w14:paraId="2AC8CA8B">
      <w:r>
        <w:rPr>
          <w:rFonts w:hint="eastAsia"/>
        </w:rPr>
        <w:t>演示台只承担展示与交互，所有指标仍由评测脚本离线计算并写入结果文件，演示台仅读取结果，不参与计算，以免为了现场效果牺牲实验严谨性。同时准备一份离线录屏作为回退方案，现场环境异常时保证演示流程不断档。</w:t>
      </w:r>
    </w:p>
    <w:p w14:paraId="55821390">
      <w:pPr>
        <w:pStyle w:val="00000a"/>
      </w:pPr>
      <w:bookmarkEnd w:id="10"/>
      <w:r>
        <w:rPr>
          <w:rFonts w:hint="eastAsia" w:ascii="宋体" w:hAnsi="宋体" w:eastAsia="宋体" w:cs="宋体"/>
          <w:b w:val="1"/>
          <w:color w:val="000000"/>
          <w:sz w:val="30"/>
          <w:lang w:eastAsia="zh-CN"/>
        </w:rPr>
        <w:t>八、创新点</w:t>
      </w:r>
    </w:p>
    <w:p w14:paraId="7E0217BB">
      <w:pPr>
        <w:pStyle w:val="000032"/>
        <w:numPr>
          <w:ilvl w:val="0"/>
          <w:numId w:val="5"/>
        </w:numPr>
        <w:spacing w:after="60"/>
        <w:jc w:val="left"/>
      </w:pPr>
      <w:r>
        <w:rPr>
          <w:rFonts w:hint="eastAsia" w:ascii="宋体" w:hAnsi="宋体" w:eastAsia="宋体" w:cs="宋体"/>
          <w:b w:val="1"/>
          <w:lang w:eastAsia="zh-CN"/>
        </w:rPr>
        <w:t>联合视角的实证结论。</w:t>
      </w:r>
      <w:r>
        <w:rPr>
          <w:rFonts w:hint="eastAsia" w:ascii="宋体" w:hAnsi="宋体" w:eastAsia="宋体" w:cs="宋体"/>
          <w:lang w:eastAsia="zh-CN"/>
        </w:rPr>
        <w:t>不同于分别优化检索或压缩的常规做法，本研究将二者置于同一实验框架下，给出量化压缩与智能体式检索的叠加影响规律</w:t>
      </w:r>
      <w:r>
        <w:rPr>
          <w:rFonts w:hint="eastAsia" w:ascii="宋体" w:hAnsi="宋体" w:eastAsia="宋体" w:cs="宋体"/>
          <w:lang w:eastAsia="zh-CN"/>
        </w:rPr>
        <w:t>及质量与效率的联合曲线。</w:t>
      </w:r>
    </w:p>
    <w:p w14:paraId="1B598B5C">
      <w:pPr>
        <w:pStyle w:val="000032"/>
        <w:numPr>
          <w:ilvl w:val="0"/>
          <w:numId w:val="5"/>
        </w:numPr>
        <w:spacing w:after="60"/>
        <w:jc w:val="left"/>
      </w:pPr>
      <w:r>
        <w:rPr>
          <w:rFonts w:hint="eastAsia" w:ascii="宋体" w:hAnsi="宋体" w:eastAsia="宋体" w:cs="宋体"/>
          <w:b w:val="1"/>
          <w:lang w:eastAsia="zh-CN"/>
        </w:rPr>
        <w:t>面向端侧的统一评测口径。</w:t>
      </w:r>
      <w:r>
        <w:rPr>
          <w:rFonts w:hint="eastAsia" w:ascii="宋体" w:hAnsi="宋体" w:eastAsia="宋体" w:cs="宋体"/>
          <w:lang w:eastAsia="zh-CN"/>
        </w:rPr>
        <w:t>构建覆盖检索层、生成层、压缩层与系统层的指标体系，使不同方案在同一口径下可比。</w:t>
      </w:r>
    </w:p>
    <w:p w14:paraId="47FF68D1">
      <w:pPr>
        <w:pStyle w:val="000032"/>
        <w:numPr>
          <w:ilvl w:val="0"/>
          <w:numId w:val="5"/>
        </w:numPr>
        <w:spacing w:after="60"/>
        <w:jc w:val="left"/>
      </w:pPr>
      <w:r>
        <w:rPr>
          <w:rFonts w:hint="eastAsia" w:ascii="宋体" w:hAnsi="宋体" w:eastAsia="宋体" w:cs="宋体"/>
          <w:b w:val="1"/>
          <w:lang w:eastAsia="zh-CN"/>
        </w:rPr>
        <w:t>可离线运行的原型系统与实测数据。</w:t>
      </w:r>
      <w:r>
        <w:rPr>
          <w:rFonts w:hint="eastAsia" w:ascii="宋体" w:hAnsi="宋体" w:eastAsia="宋体" w:cs="宋体"/>
          <w:lang w:eastAsia="zh-CN"/>
        </w:rPr>
        <w:t>输出一套可在端侧设备离线运行的</w:t>
      </w:r>
      <w:r>
        <w:t xml:space="preserve"> RAG </w:t>
      </w:r>
      <w:r>
        <w:rPr>
          <w:rFonts w:hint="eastAsia" w:ascii="宋体" w:hAnsi="宋体" w:eastAsia="宋体" w:cs="宋体"/>
          <w:lang w:eastAsia="zh-CN"/>
        </w:rPr>
        <w:t>原型，并附完整的端到端实测数据表，支撑工程选型。</w:t>
      </w:r>
    </w:p>
    <w:p w14:paraId="7D0202A5">
      <w:pPr>
        <w:pBdr>
          <w:left w:val="single" w:color="888888" w:sz="18" w:space="0"/>
        </w:pBdr>
        <w:ind w:firstLine="480"/>
        <w:jc w:val="left"/>
      </w:pPr>
      <w:r>
        <w:t>  </w:t>
      </w:r>
      <w:r>
        <w:rPr>
          <w:rFonts w:hint="eastAsia" w:ascii="宋体" w:hAnsi="宋体" w:eastAsia="宋体" w:cs="宋体"/>
          <w:lang w:eastAsia="zh-CN"/>
        </w:rPr>
        <w:t>说明：上述创新点定位为应用型创新与系统性实证，不涉及新模型架构的提出。答辩时应主动说明这一定位，避免被追问理论创新在哪里时无从回答。</w:t>
      </w:r>
    </w:p>
    <w:p w14:paraId="5086032D">
      <w:pPr>
        <w:pStyle w:val="00000a"/>
      </w:pPr>
      <w:bookmarkStart w:id="11" w:name="_Toc_sec_8"/>
      <w:bookmarkEnd w:id="11"/>
      <w:r>
        <w:rPr>
          <w:rFonts w:hint="eastAsia" w:ascii="宋体" w:hAnsi="宋体" w:eastAsia="宋体" w:cs="宋体"/>
          <w:b w:val="1"/>
          <w:color w:val="000000"/>
          <w:sz w:val="30"/>
          <w:lang w:eastAsia="zh-CN"/>
        </w:rPr>
        <w:t>九、进度安排</w:t>
      </w:r>
    </w:p>
    <w:p w14:paraId="43C96629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本部分回答能不能按时做完，按开题准备、系统实现、实验与分析、论文与答辩四个阶段划分。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ECD073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阶段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904635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时间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DB2704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主要任务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02087B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阶段产出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820FF0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开题准备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659763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第  1—2  周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66984A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文献检索与阅读、选题收敛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4F31FC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文献综述对比表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F4D052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开题准备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59E2E7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第  3—4  周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228BFE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数据与评测集确定、基线复现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02329B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可运行的基线流程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8210F0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开题准备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2D8DA3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第  5—6  周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14A658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技术路线确定、实验方案设计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A76456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技术路线图与实验方案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3EDF3B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开题准备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82176D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第  7—8  周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E28E16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开题报告与答辩准备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7B31BB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开题报告与汇报材料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FB112E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系统实现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55FCE4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第  9—16  周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7CA348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四个部分依次实现与联调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AFBBC1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原型系统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6C624D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实验与分析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65B8A7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第  17—24  周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D4C18F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对比实验、消融实验、端侧实测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93D68B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实验数据集与结论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DAD697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论文与答辩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31DC29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第  25—28  周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306EC2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论文撰写、修改与答辩准备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CF4431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学位论文与答辩材料</w:t>
            </w:r>
          </w:p>
        </w:tc>
      </w:tr>
    </w:tbl>
    <w:p w14:paraId="5F063D4E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上表周次为相对周次，实际执行时需与所在学校的开题、中期检查与答辩时间节点对齐；若学校要求提前提交中期材料，则将系统实现阶段的模块输出提前至对应节点。</w:t>
      </w:r>
    </w:p>
    <w:p w14:paraId="308E66D0">
      <w:pPr>
        <w:pStyle w:val="00000a"/>
      </w:pPr>
      <w:bookmarkStart w:id="12" w:name="_Toc_sec_9"/>
      <w:bookmarkEnd w:id="12"/>
      <w:r>
        <w:rPr>
          <w:rFonts w:hint="eastAsia" w:ascii="宋体" w:hAnsi="宋体" w:eastAsia="宋体" w:cs="宋体"/>
          <w:b w:val="1"/>
          <w:color w:val="000000"/>
          <w:sz w:val="30"/>
          <w:lang w:eastAsia="zh-CN"/>
        </w:rPr>
        <w:t>十、预期成果</w:t>
      </w:r>
    </w:p>
    <w:p w14:paraId="7E82F80F">
      <w:pPr>
        <w:pStyle w:val="000032"/>
        <w:numPr>
          <w:ilvl w:val="0"/>
          <w:numId w:val="6"/>
        </w:numPr>
        <w:spacing w:after="60"/>
        <w:jc w:val="left"/>
      </w:pPr>
      <w:r>
        <w:rPr>
          <w:rFonts w:hint="eastAsia" w:ascii="宋体" w:hAnsi="宋体" w:eastAsia="宋体" w:cs="宋体"/>
          <w:lang w:eastAsia="zh-CN"/>
        </w:rPr>
        <w:t>一套可在端侧设备离线运行的轻量化检索增强生成原型系统；</w:t>
      </w:r>
    </w:p>
    <w:p w14:paraId="0EDD71AC">
      <w:pPr>
        <w:pStyle w:val="000032"/>
        <w:numPr>
          <w:ilvl w:val="0"/>
          <w:numId w:val="6"/>
        </w:numPr>
        <w:spacing w:after="60"/>
        <w:jc w:val="left"/>
      </w:pPr>
      <w:r>
        <w:rPr>
          <w:rFonts w:hint="eastAsia" w:ascii="宋体" w:hAnsi="宋体" w:eastAsia="宋体" w:cs="宋体"/>
          <w:lang w:eastAsia="zh-CN"/>
        </w:rPr>
        <w:t>一份完整的实验数据集与评测结果，含质量与效率联合表；</w:t>
      </w:r>
    </w:p>
    <w:p w14:paraId="47C70B47">
      <w:pPr>
        <w:pStyle w:val="000032"/>
        <w:numPr>
          <w:ilvl w:val="0"/>
          <w:numId w:val="6"/>
        </w:numPr>
        <w:spacing w:after="60"/>
        <w:jc w:val="left"/>
      </w:pPr>
      <w:r>
        <w:rPr>
          <w:rFonts w:hint="eastAsia" w:ascii="宋体" w:hAnsi="宋体" w:eastAsia="宋体" w:cs="宋体"/>
          <w:lang w:eastAsia="zh-CN"/>
        </w:rPr>
        <w:t>面向端侧</w:t>
      </w:r>
      <w:r>
        <w:t xml:space="preserve"> RAG </w:t>
      </w:r>
      <w:r>
        <w:rPr>
          <w:rFonts w:hint="eastAsia" w:ascii="宋体" w:hAnsi="宋体" w:eastAsia="宋体" w:cs="宋体"/>
          <w:lang w:eastAsia="zh-CN"/>
        </w:rPr>
        <w:t>的方案选型建议与实施说明；</w:t>
      </w:r>
    </w:p>
    <w:p w14:paraId="05CD723C">
      <w:pPr>
        <w:pStyle w:val="000032"/>
        <w:numPr>
          <w:ilvl w:val="0"/>
          <w:numId w:val="6"/>
        </w:numPr>
        <w:spacing w:after="60"/>
        <w:jc w:val="left"/>
      </w:pPr>
      <w:r>
        <w:rPr>
          <w:rFonts w:hint="eastAsia" w:ascii="宋体" w:hAnsi="宋体" w:eastAsia="宋体" w:cs="宋体"/>
          <w:lang w:eastAsia="zh-CN"/>
        </w:rPr>
        <w:t>符合学校规范要求的本科毕业设计论文。</w:t>
      </w:r>
    </w:p>
    <w:p w14:paraId="70794095">
      <w:pPr>
        <w:pStyle w:val="00000a"/>
      </w:pPr>
      <w:bookmarkStart w:id="13" w:name="_Toc_sec_10"/>
      <w:bookmarkEnd w:id="13"/>
      <w:r>
        <w:rPr>
          <w:rFonts w:hint="eastAsia" w:ascii="宋体" w:hAnsi="宋体" w:eastAsia="宋体" w:cs="宋体"/>
          <w:b w:val="1"/>
          <w:color w:val="000000"/>
          <w:sz w:val="30"/>
          <w:lang w:eastAsia="zh-CN"/>
        </w:rPr>
        <w:t>十一、主要难点与对策</w:t>
      </w:r>
    </w:p>
    <w:p w14:paraId="75102879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本部分预先识别五类风险，并给出对应处置方式，用于说明研究过程可控。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CDEFB7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难点</w:t>
            </w:r>
          </w:p>
        </w:tc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1C9FC8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具体表现</w:t>
            </w:r>
          </w:p>
        </w:tc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F0FF42">
            <w:pPr>
              <w:spacing w:before="52" w:after="52" w:line="240" w:lineRule="auto"/>
              <w:jc w:val="left"/>
            </w:pPr>
            <w:r>
              <w:rPr>
                <w:rFonts w:hint="eastAsia"/>
                <w:b w:val="1"/>
                <w:sz w:val="21"/>
              </w:rPr>
              <w:t>对策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2F8CCD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量化后能力下降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8E4DE6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位宽降低导致答案质量明显退化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FAFB20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以校准集做分层量化，关键层保持较高位宽；先在中等规模模型上验证方案再压缩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FD80BF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端侧内存受限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4715C7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索引与模型同时加载超出设备内存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901E75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索引压缩与分块流式加载结合，按可用内存动态调整检索规模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CB178B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智能体式检索判据不稳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1CF963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该检索时未检索、不该检索时误触发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FF98DD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用验证集校准触发阈值，并将触发准确率作为独立指标报告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3F9B5A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评测主观性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5E7314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部分指标依赖人工判断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DB2196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固定评测集与打分细则，采用双人标注并报告一致性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E2B663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算力与时间成本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4920DE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训练与调参耗时较长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74B0EF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优先使用小规模开源模型，训练与校准分批进行，云上资源按需租用</w:t>
            </w:r>
          </w:p>
        </w:tc>
      </w:tr>
    </w:tbl>
    <w:p w14:paraId="0A100EA9">
      <w:bookmarkStart w:id="14" w:name="sec-11"/>
      <w:bookmarkEnd w:id="14"/>
    </w:p>
    <w:p w14:paraId="76BDB506">
      <w:pPr>
        <w:pStyle w:val="00000a"/>
      </w:pPr>
      <w:bookmarkStart w:id="15" w:name="_Toc_sec_11"/>
      <w:bookmarkEnd w:id="15"/>
      <w:r>
        <w:rPr>
          <w:rFonts w:hint="eastAsia" w:ascii="宋体" w:hAnsi="宋体" w:eastAsia="宋体" w:cs="宋体"/>
          <w:b w:val="1"/>
          <w:color w:val="000000"/>
          <w:sz w:val="30"/>
          <w:lang w:eastAsia="zh-CN"/>
        </w:rPr>
        <w:t>十二、合规与诚信说明</w:t>
      </w:r>
    </w:p>
    <w:p w14:paraId="15900CDF">
      <w:pPr>
        <w:pStyle w:val="000032"/>
        <w:numPr>
          <w:ilvl w:val="0"/>
          <w:numId w:val="7"/>
        </w:numPr>
        <w:spacing w:after="60"/>
        <w:jc w:val="left"/>
      </w:pPr>
      <w:r>
        <w:rPr>
          <w:rFonts w:hint="eastAsia" w:ascii="宋体" w:hAnsi="宋体" w:eastAsia="宋体" w:cs="宋体"/>
          <w:lang w:eastAsia="zh-CN"/>
        </w:rPr>
        <w:t>本研究使用的全部数据均来自公开评测集与公开文档，不涉及个人隐私数据、临床数据或需要现场授权采集的数据；</w:t>
      </w:r>
    </w:p>
    <w:p w14:paraId="4CDAD71B">
      <w:pPr>
        <w:pStyle w:val="000032"/>
        <w:numPr>
          <w:ilvl w:val="0"/>
          <w:numId w:val="7"/>
        </w:numPr>
        <w:spacing w:after="60"/>
        <w:jc w:val="left"/>
      </w:pPr>
      <w:r>
        <w:rPr>
          <w:rFonts w:hint="eastAsia" w:ascii="宋体" w:hAnsi="宋体" w:eastAsia="宋体" w:cs="宋体"/>
          <w:lang w:eastAsia="zh-CN"/>
        </w:rPr>
        <w:t>论文中的文献引用、实验数据与结论均来自本人实际工作，不使用未经验证的数据或结论；</w:t>
      </w:r>
    </w:p>
    <w:p w14:paraId="486641C1">
      <w:pPr>
        <w:pStyle w:val="000032"/>
        <w:numPr>
          <w:ilvl w:val="0"/>
          <w:numId w:val="7"/>
        </w:numPr>
        <w:spacing w:after="60"/>
        <w:jc w:val="left"/>
      </w:pPr>
      <w:r>
        <w:rPr>
          <w:rFonts w:hint="eastAsia" w:ascii="宋体" w:hAnsi="宋体" w:eastAsia="宋体" w:cs="宋体"/>
          <w:lang w:eastAsia="zh-CN"/>
        </w:rPr>
        <w:t>涉及人工评价的部分将在论文中说明标注流程与人员构成，并披露可能的主观偏差；</w:t>
      </w:r>
    </w:p>
    <w:p w14:paraId="3EEB39A0">
      <w:pPr>
        <w:pStyle w:val="000032"/>
        <w:numPr>
          <w:ilvl w:val="0"/>
          <w:numId w:val="7"/>
        </w:numPr>
        <w:spacing w:after="60"/>
        <w:jc w:val="left"/>
      </w:pPr>
      <w:r>
        <w:rPr>
          <w:rFonts w:hint="eastAsia" w:ascii="宋体" w:hAnsi="宋体" w:eastAsia="宋体" w:cs="宋体"/>
          <w:lang w:eastAsia="zh-CN"/>
        </w:rPr>
        <w:t>开题报告与学位论文的文献清单将按所在学校规定的格式（如</w:t>
      </w:r>
      <w:r>
        <w:t xml:space="preserve"> GB/T 7714</w:t>
      </w:r>
      <w:r>
        <w:rPr>
          <w:rFonts w:hint="eastAsia" w:ascii="宋体" w:hAnsi="宋体" w:eastAsia="宋体" w:cs="宋体"/>
          <w:lang w:eastAsia="zh-CN"/>
        </w:rPr>
        <w:t>）由本人逐条核对后补充，不以未经核对的条目充数。</w:t>
      </w:r>
    </w:p>
    <w:p w14:paraId="51DB35F8">
      <w:pPr>
        <w:pStyle w:val="00000a"/>
      </w:pPr>
      <w:bookmarkStart w:id="16" w:name="_Toc_sec_ref"/>
      <w:r>
        <w:rPr>
          <w:rFonts w:hint="eastAsia" w:ascii="宋体" w:hAnsi="宋体" w:eastAsia="宋体" w:cs="宋体"/>
          <w:b w:val="1"/>
          <w:color w:val="000000"/>
          <w:sz w:val="30"/>
          <w:lang w:eastAsia="zh-CN"/>
        </w:rPr>
        <w:t>参考文献</w:t>
      </w:r>
      <w:bookmarkEnd w:id="16"/>
    </w:p>
    <w:p w14:paraId="163DAD08">
      <w:pPr>
        <w:ind w:firstLine="480"/>
        <w:jc w:val="left"/>
      </w:pPr>
      <w:r>
        <w:rPr>
          <w:rFonts w:hint="eastAsia" w:ascii="宋体" w:hAnsi="宋体" w:eastAsia="宋体" w:cs="宋体"/>
          <w:lang w:eastAsia="zh-CN"/>
        </w:rPr>
        <w:t>本节留待定稿时按</w:t>
      </w:r>
      <w:r>
        <w:t xml:space="preserve"> GB/T 7714 </w:t>
      </w:r>
      <w:r>
        <w:rPr>
          <w:rFonts w:hint="eastAsia" w:ascii="宋体" w:hAnsi="宋体" w:eastAsia="宋体" w:cs="宋体"/>
          <w:lang w:eastAsia="zh-CN"/>
        </w:rPr>
        <w:t>格式逐条填写。以下为需要覆盖的文献方向，条目由本人检索核对后补入。</w:t>
      </w:r>
    </w:p>
    <w:p w14:paraId="1D8262FA">
      <w:pPr>
        <w:pStyle w:val="000032"/>
        <w:numPr>
          <w:ilvl w:val="0"/>
          <w:numId w:val="8"/>
        </w:numPr>
        <w:spacing w:after="63"/>
        <w:jc w:val="left"/>
      </w:pPr>
      <w:r>
        <w:rPr>
          <w:rFonts w:hint="eastAsia" w:ascii="宋体" w:hAnsi="宋体" w:eastAsia="宋体" w:cs="宋体"/>
          <w:sz w:val="21"/>
          <w:lang w:eastAsia="zh-CN"/>
        </w:rPr>
        <w:t>检索增强生成方向：综述类文献与代表性方法论文（待补全条目）</w:t>
      </w:r>
    </w:p>
    <w:p w14:paraId="2ADF12DB">
      <w:pPr>
        <w:pStyle w:val="000032"/>
        <w:numPr>
          <w:ilvl w:val="0"/>
          <w:numId w:val="8"/>
        </w:numPr>
        <w:spacing w:after="63"/>
        <w:jc w:val="left"/>
      </w:pPr>
      <w:r>
        <w:rPr>
          <w:rFonts w:hint="eastAsia" w:ascii="宋体" w:hAnsi="宋体" w:eastAsia="宋体" w:cs="宋体"/>
          <w:sz w:val="21"/>
          <w:lang w:eastAsia="zh-CN"/>
        </w:rPr>
        <w:t>自适应检索方向：检索触发判据与迭代检索相关研究（待补全条目）</w:t>
      </w:r>
    </w:p>
    <w:p w14:paraId="28906E0B">
      <w:pPr>
        <w:pStyle w:val="000032"/>
        <w:numPr>
          <w:ilvl w:val="0"/>
          <w:numId w:val="8"/>
        </w:numPr>
        <w:spacing w:after="63"/>
        <w:jc w:val="left"/>
      </w:pPr>
      <w:r>
        <w:rPr>
          <w:rFonts w:hint="eastAsia" w:ascii="宋体" w:hAnsi="宋体" w:eastAsia="宋体" w:cs="宋体"/>
          <w:sz w:val="21"/>
          <w:lang w:eastAsia="zh-CN"/>
        </w:rPr>
        <w:t>模型压缩方向：量化、蒸馏与剪枝的代表性方法与工程实现（待补全条目）</w:t>
      </w:r>
    </w:p>
    <w:p w14:paraId="771D76C8">
      <w:pPr>
        <w:pStyle w:val="000032"/>
        <w:numPr>
          <w:ilvl w:val="0"/>
          <w:numId w:val="8"/>
        </w:numPr>
        <w:spacing w:after="63"/>
        <w:jc w:val="left"/>
      </w:pPr>
      <w:r>
        <w:rPr>
          <w:rFonts w:hint="eastAsia" w:ascii="宋体" w:hAnsi="宋体" w:eastAsia="宋体" w:cs="宋体"/>
          <w:sz w:val="21"/>
          <w:lang w:eastAsia="zh-CN"/>
        </w:rPr>
        <w:t>端侧部署方向：边缘设备上的大模型推理与评测研究（待补全条目）</w:t>
      </w:r>
    </w:p>
    <w:p w14:paraId="0727FD66">
      <w:pPr>
        <w:pStyle w:val="000032"/>
        <w:numPr>
          <w:ilvl w:val="0"/>
          <w:numId w:val="8"/>
        </w:numPr>
        <w:spacing w:after="63"/>
        <w:jc w:val="left"/>
      </w:pPr>
      <w:r>
        <w:rPr>
          <w:rFonts w:hint="eastAsia" w:ascii="宋体" w:hAnsi="宋体" w:eastAsia="宋体" w:cs="宋体"/>
          <w:sz w:val="21"/>
          <w:lang w:eastAsia="zh-CN"/>
        </w:rPr>
        <w:t>评测基准方向：所用公开评测集的原始文献（待补全条目）</w:t>
      </w:r>
    </w:p>
    <w:sectPr w:rsidRPr="0006063C" w:rsidR="00FC693F" w:rsidSect="00034616">
      <w:footerReference r:id="rId5" w:type="default"/>
      <w:pgSz w:w="11906" w:h="16838"/>
      <w:pgMar w:top="1701" w:right="1417" w:bottom="1417" w:left="1701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8262A89">
    <w:pPr>
      <w:pStyle w:val="000006"/>
      <w:tabs>
        <w:tab w:val="center" w:pos="4394"/>
        <w:tab w:val="right" w:pos="8788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9">
    <w:abstractNumId w:val="6"/>
  </w:num>
  <w:num w:numId="11">
    <w:abstractNumId w:val="5"/>
  </w:num>
  <w:num w:numId="4">
    <w:abstractNumId w:val="3"/>
  </w:num>
  <w:num w:numId="6">
    <w:abstractNumId w:val="7"/>
    <w:lvlOverride w:ilvl="0">
      <w:startOverride w:val="1"/>
    </w:lvlOverride>
  </w:num>
  <w:num w:numId="10">
    <w:abstractNumId w:val="4"/>
  </w:num>
  <w:num w:numId="13">
    <w:abstractNumId w:val="1"/>
  </w:num>
  <w:num w:numId="8">
    <w:abstractNumId w:val="7"/>
    <w:lvlOverride w:ilvl="0">
      <w:startOverride w:val="1"/>
    </w:lvlOverride>
  </w:num>
  <w:num w:numId="7">
    <w:abstractNumId w:val="7"/>
    <w:lvlOverride w:ilvl="0">
      <w:startOverride w:val="1"/>
    </w:lvlOverride>
  </w:num>
  <w:num w:numId="3">
    <w:abstractNumId w:val="2"/>
  </w:num>
  <w:num w:numId="14">
    <w:abstractNumId w:val="7"/>
  </w:num>
  <w:num w:numId="2">
    <w:abstractNumId w:val="7"/>
    <w:lvlOverride w:ilvl="0">
      <w:startOverride w:val="1"/>
    </w:lvlOverride>
  </w:num>
  <w:num w:numId="5">
    <w:abstractNumId w:val="7"/>
    <w:lvlOverride w:ilvl="0">
      <w:startOverride w:val="1"/>
    </w:lvlOverride>
  </w:num>
  <w:num w:numId="12">
    <w:abstractNumId w:val="0"/>
  </w:num>
  <w:num w:numId="1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Subtitle" w:uiPriority="11" w:semiHidden="0" w:unhideWhenUsed="0" w:qFormat="1"/>
    <w:lsdException w:name="Medium Grid 2 Accent 3" w:uiPriority="68" w:semiHidden="0" w:unhideWhenUsed="0"/>
    <w:lsdException w:name="Dark List Accent 3" w:uiPriority="70" w:semiHidden="0" w:unhideWhenUsed="0"/>
    <w:lsdException w:name="caption" w:uiPriority="35" w:qFormat="1"/>
    <w:lsdException w:name="Medium Grid 1 Accent 3" w:uiPriority="67" w:semiHidden="0" w:unhideWhenUsed="0"/>
    <w:lsdException w:name="Colorful Shading Accent 3" w:uiPriority="71" w:semiHidden="0" w:unhideWhenUsed="0"/>
    <w:lsdException w:name="Medium Grid 2 Accent 4" w:uiPriority="68" w:semiHidden="0" w:unhideWhenUsed="0"/>
    <w:lsdException w:name="Light List Accent 4" w:uiPriority="61" w:semiHidden="0" w:unhideWhenUsed="0"/>
    <w:lsdException w:name="Dark List" w:uiPriority="70" w:semiHidden="0" w:unhideWhenUsed="0"/>
    <w:lsdException w:name="Medium Shading 2 Accent 5" w:uiPriority="64" w:semiHidden="0" w:unhideWhenUsed="0"/>
    <w:lsdException w:name="Medium List 2 Accent 3" w:uiPriority="66" w:semiHidden="0" w:unhideWhenUsed="0"/>
    <w:lsdException w:name="toc 6" w:uiPriority="39"/>
    <w:lsdException w:name="Medium Shading 1 Accent 6" w:uiPriority="63" w:semiHidden="0" w:unhideWhenUsed="0"/>
    <w:lsdException w:name="Medium Grid 1" w:uiPriority="67" w:semiHidden="0" w:unhideWhenUsed="0"/>
    <w:lsdException w:name="List Paragraph" w:uiPriority="34" w:semiHidden="0" w:unhideWhenUsed="0" w:qFormat="1"/>
    <w:lsdException w:name="Light List Accent 6" w:uiPriority="61" w:semiHidden="0" w:unhideWhenUsed="0"/>
    <w:lsdException w:name="Medium List 2 Accent 6" w:uiPriority="66" w:semiHidden="0" w:unhideWhenUsed="0"/>
    <w:lsdException w:name="heading 7" w:uiPriority="9" w:qFormat="1"/>
    <w:lsdException w:name="Medium Grid 1 Accent 6" w:uiPriority="67" w:semiHidden="0" w:unhideWhenUsed="0"/>
    <w:lsdException w:name="toc 3" w:uiPriority="39"/>
    <w:lsdException w:name="Light Grid Accent 5" w:uiPriority="62" w:semiHidden="0" w:unhideWhenUsed="0"/>
    <w:lsdException w:name="Medium Shading 1 Accent 3" w:uiPriority="63" w:semiHidden="0" w:unhideWhenUsed="0"/>
    <w:lsdException w:name="Medium List 1 Accent 2" w:uiPriority="65" w:semiHidden="0" w:unhideWhenUsed="0"/>
    <w:lsdException w:name="Colorful Grid" w:uiPriority="73" w:semiHidden="0" w:unhideWhenUsed="0"/>
    <w:lsdException w:name="Colorful Grid Accent 5" w:uiPriority="73" w:semiHidden="0" w:unhideWhenUsed="0"/>
    <w:lsdException w:name="Colorful List Accent 6" w:uiPriority="72" w:semiHidden="0" w:unhideWhenUsed="0"/>
    <w:lsdException w:name="Medium Grid 3" w:uiPriority="69" w:semiHidden="0" w:unhideWhenUsed="0"/>
    <w:lsdException w:name="Light Shading Accent 6" w:uiPriority="60" w:semiHidden="0" w:unhideWhenUsed="0"/>
    <w:lsdException w:name="Medium Grid 3 Accent 4" w:uiPriority="69" w:semiHidden="0" w:unhideWhenUsed="0"/>
    <w:lsdException w:name="Light Shading Accent 3" w:uiPriority="60" w:semiHidden="0" w:unhideWhenUsed="0"/>
    <w:lsdException w:name="Colorful Shading Accent 5" w:uiPriority="71" w:semiHidden="0" w:unhideWhenUsed="0"/>
    <w:lsdException w:name="Medium Shading 1" w:uiPriority="63" w:semiHidden="0" w:unhideWhenUsed="0"/>
    <w:lsdException w:name="Colorful List Accent 3" w:uiPriority="72" w:semiHidden="0" w:unhideWhenUsed="0"/>
    <w:lsdException w:name="Medium Grid 2 Accent 2" w:uiPriority="68" w:semiHidden="0" w:unhideWhenUsed="0"/>
    <w:lsdException w:name="Book Title" w:uiPriority="33" w:semiHidden="0" w:unhideWhenUsed="0" w:qFormat="1"/>
    <w:lsdException w:name="Medium Grid 3 Accent 1" w:uiPriority="69" w:semiHidden="0" w:unhideWhenUsed="0"/>
    <w:lsdException w:name="TOC Heading" w:uiPriority="39" w:qFormat="1"/>
    <w:lsdException w:name="Medium List 2 Accent 5" w:uiPriority="66" w:semiHidden="0" w:unhideWhenUsed="0"/>
    <w:lsdException w:name="Light List Accent 5" w:uiPriority="61" w:semiHidden="0" w:unhideWhenUsed="0"/>
    <w:lsdException w:name="Medium Shading 2 Accent 1" w:uiPriority="64" w:semiHidden="0" w:unhideWhenUsed="0"/>
    <w:lsdException w:name="heading 4" w:uiPriority="9" w:qFormat="1"/>
    <w:lsdException w:name="Subtle Reference" w:uiPriority="31" w:semiHidden="0" w:unhideWhenUsed="0" w:qFormat="1"/>
    <w:lsdException w:name="Light List Accent 2" w:uiPriority="61" w:semiHidden="0" w:unhideWhenUsed="0"/>
    <w:lsdException w:name="Medium List 2 Accent 2" w:uiPriority="66" w:semiHidden="0" w:unhideWhenUsed="0"/>
    <w:lsdException w:name="Colorful Grid Accent 2" w:uiPriority="73" w:semiHidden="0" w:unhideWhenUsed="0"/>
    <w:lsdException w:name="Medium Shading 2 Accent 4" w:uiPriority="64" w:semiHidden="0" w:unhideWhenUsed="0"/>
    <w:lsdException w:name="toc 7" w:uiPriority="39"/>
    <w:lsdException w:name="Table Grid" w:uiPriority="59" w:semiHidden="0" w:unhideWhenUsed="0"/>
    <w:lsdException w:name="Light Grid" w:uiPriority="62" w:semiHidden="0" w:unhideWhenUsed="0"/>
    <w:lsdException w:name="heading 1" w:uiPriority="9" w:semiHidden="0" w:unhideWhenUsed="0" w:qFormat="1"/>
    <w:lsdException w:name="Strong" w:uiPriority="22" w:semiHidden="0" w:unhideWhenUsed="0" w:qFormat="1"/>
    <w:lsdException w:name="Light Grid Accent 1" w:uiPriority="62" w:semiHidden="0" w:unhideWhenUsed="0"/>
    <w:lsdException w:name="Intense Reference" w:uiPriority="32" w:semiHidden="0" w:unhideWhenUsed="0" w:qFormat="1"/>
    <w:lsdException w:name="No Spacing" w:uiPriority="1" w:semiHidden="0" w:unhideWhenUsed="0" w:qFormat="1"/>
    <w:lsdException w:name="Medium Grid 1 Accent 4" w:uiPriority="67" w:semiHidden="0" w:unhideWhenUsed="0"/>
    <w:lsdException w:name="Dark List Accent 4" w:uiPriority="70" w:semiHidden="0" w:unhideWhenUsed="0"/>
    <w:lsdException w:name="Light List" w:uiPriority="61" w:semiHidden="0" w:unhideWhenUsed="0"/>
    <w:lsdException w:name="Medium Grid 2 Accent 1" w:uiPriority="68" w:semiHidden="0" w:unhideWhenUsed="0"/>
    <w:lsdException w:name="Medium Grid 3 Accent 2" w:uiPriority="69" w:semiHidden="0" w:unhideWhenUsed="0"/>
    <w:lsdException w:name="Medium Grid 1 Accent 1" w:uiPriority="67" w:semiHidden="0" w:unhideWhenUsed="0"/>
    <w:lsdException w:name="Colorful Shading Accent 1" w:uiPriority="71" w:semiHidden="0" w:unhideWhenUsed="0"/>
    <w:lsdException w:name="Medium Grid 2" w:uiPriority="68" w:semiHidden="0" w:unhideWhenUsed="0"/>
    <w:lsdException w:name="Medium List 1 Accent 3" w:uiPriority="65" w:semiHidden="0" w:unhideWhenUsed="0"/>
    <w:lsdException w:name="Colorful List" w:uiPriority="72" w:semiHidden="0" w:unhideWhenUsed="0"/>
    <w:lsdException w:name="Dark List Accent 1" w:uiPriority="70" w:semiHidden="0" w:unhideWhenUsed="0"/>
    <w:lsdException w:name="Medium Grid 3 Accent 5" w:uiPriority="69" w:semiHidden="0" w:unhideWhenUsed="0"/>
    <w:lsdException w:name="Medium List 2 Accent 1" w:uiPriority="66" w:semiHidden="0" w:unhideWhenUsed="0"/>
    <w:lsdException w:name="toc 4" w:uiPriority="39"/>
    <w:lsdException w:name="Light Grid Accent 6" w:uiPriority="62" w:semiHidden="0" w:unhideWhenUsed="0"/>
    <w:lsdException w:name="Subtle Emphasis" w:uiPriority="19" w:semiHidden="0" w:unhideWhenUsed="0" w:qFormat="1"/>
    <w:lsdException w:name="heading 8" w:uiPriority="9" w:qFormat="1"/>
    <w:lsdException w:name="Colorful Grid Accent 6" w:uiPriority="73" w:semiHidden="0" w:unhideWhenUsed="0"/>
    <w:lsdException w:name="Medium Shading 1 Accent 4" w:uiPriority="63" w:semiHidden="0" w:unhideWhenUsed="0"/>
    <w:lsdException w:name="Emphasis" w:uiPriority="20" w:semiHidden="0" w:unhideWhenUsed="0" w:qFormat="1"/>
    <w:lsdException w:name="Medium List 2 Accent 4" w:uiPriority="66" w:semiHidden="0" w:unhideWhenUsed="0"/>
    <w:lsdException w:name="toc 1" w:uiPriority="39"/>
    <w:lsdException w:name="heading 5" w:uiPriority="9" w:qFormat="1"/>
    <w:lsdException w:name="Light List Accent 3" w:uiPriority="61" w:semiHidden="0" w:unhideWhenUsed="0"/>
    <w:lsdException w:name="Medium List 1 Accent 4" w:uiPriority="65" w:semiHidden="0" w:unhideWhenUsed="0"/>
    <w:lsdException w:name="Bibliography" w:uiPriority="37"/>
    <w:lsdException w:name="Colorful Grid Accent 3" w:uiPriority="73" w:semiHidden="0" w:unhideWhenUsed="0"/>
    <w:lsdException w:name="Colorful Shading Accent 6" w:uiPriority="71" w:semiHidden="0" w:unhideWhenUsed="0"/>
    <w:lsdException w:name="Colorful List Accent 4" w:uiPriority="72" w:semiHidden="0" w:unhideWhenUsed="0"/>
    <w:lsdException w:name="Light Shading Accent 4" w:uiPriority="60" w:semiHidden="0" w:unhideWhenUsed="0"/>
    <w:lsdException w:name="Title" w:uiPriority="10" w:semiHidden="0" w:unhideWhenUsed="0" w:qFormat="1"/>
    <w:lsdException w:name="Medium Grid 1 Accent 5" w:uiPriority="67" w:semiHidden="0" w:unhideWhenUsed="0"/>
    <w:lsdException w:name="Placeholder Text" w:unhideWhenUsed="0"/>
    <w:lsdException w:name="Medium Grid 3 Accent 6" w:uiPriority="69" w:semiHidden="0" w:unhideWhenUsed="0"/>
    <w:lsdException w:name="Medium Grid 2 Accent 6" w:uiPriority="68" w:semiHidden="0" w:unhideWhenUsed="0"/>
    <w:lsdException w:name="Dark List Accent 5" w:uiPriority="70" w:semiHidden="0" w:unhideWhenUsed="0"/>
    <w:lsdException w:name="Light Shading Accent 1" w:uiPriority="60" w:semiHidden="0" w:unhideWhenUsed="0"/>
    <w:lsdException w:name="Colorful List Accent 1" w:uiPriority="72" w:semiHidden="0" w:unhideWhenUsed="0"/>
    <w:lsdException w:name="Colorful Shading" w:uiPriority="71" w:semiHidden="0" w:unhideWhenUsed="0"/>
    <w:lsdException w:name="Medium Grid 3 Accent 3" w:uiPriority="69" w:semiHidden="0" w:unhideWhenUsed="0"/>
    <w:lsdException w:name="Medium Shading 2 Accent 3" w:uiPriority="64" w:semiHidden="0" w:unhideWhenUsed="0"/>
    <w:lsdException w:name="heading 2" w:uiPriority="9" w:qFormat="1"/>
    <w:lsdException w:name="toc 8" w:uiPriority="39"/>
    <w:lsdException w:name="Light Grid Accent 2" w:uiPriority="62" w:semiHidden="0" w:unhideWhenUsed="0"/>
    <w:lsdException w:name="heading 9" w:uiPriority="9" w:qFormat="1"/>
    <w:lsdException w:name="Medium Shading 2 Accent 6" w:uiPriority="64" w:semiHidden="0" w:unhideWhenUsed="0"/>
    <w:lsdException w:name="toc 5" w:uiPriority="39"/>
    <w:lsdException w:name="Dark List Accent 2" w:uiPriority="70" w:semiHidden="0" w:unhideWhenUsed="0"/>
    <w:lsdException w:name="Medium Grid 1 Accent 2" w:uiPriority="67" w:semiHidden="0" w:unhideWhenUsed="0"/>
    <w:lsdException w:name="Medium Shading 1 Accent 1" w:uiPriority="63" w:semiHidden="0" w:unhideWhenUsed="0"/>
    <w:lsdException w:name="Medium Shading 1 Accent 5" w:uiPriority="63" w:semiHidden="0" w:unhideWhenUsed="0"/>
    <w:lsdException w:name="Dark List Accent 6" w:uiPriority="70" w:semiHidden="0" w:unhideWhenUsed="0"/>
    <w:lsdException w:name="Colorful Shading Accent 2" w:uiPriority="71" w:semiHidden="0" w:unhideWhenUsed="0"/>
    <w:lsdException w:name="Medium Grid 2 Accent 5" w:uiPriority="68" w:semiHidden="0" w:unhideWhenUsed="0"/>
    <w:lsdException w:name="Medium List 1 Accent 5" w:uiPriority="65" w:semiHidden="0" w:unhideWhenUsed="0"/>
    <w:lsdException w:name="Medium List 2" w:uiPriority="66" w:semiHidden="0" w:unhideWhenUsed="0"/>
    <w:lsdException w:name="Light Shading Accent 5" w:uiPriority="60" w:semiHidden="0" w:unhideWhenUsed="0"/>
    <w:lsdException w:name="Medium List 1 Accent 1" w:uiPriority="65" w:semiHidden="0" w:unhideWhenUsed="0"/>
    <w:lsdException w:name="Colorful List Accent 5" w:uiPriority="72" w:semiHidden="0" w:unhideWhenUsed="0"/>
    <w:lsdException w:name="Normal" w:uiPriority="0" w:semiHidden="0" w:unhideWhenUsed="0" w:qFormat="1"/>
    <w:lsdException w:name="Intense Emphasis" w:uiPriority="21" w:semiHidden="0" w:unhideWhenUsed="0" w:qFormat="1"/>
    <w:lsdException w:name="Revision" w:unhideWhenUsed="0"/>
    <w:lsdException w:name="toc 2" w:uiPriority="39"/>
    <w:lsdException w:name="Light Grid Accent 4" w:uiPriority="62" w:semiHidden="0" w:unhideWhenUsed="0"/>
    <w:lsdException w:name="Medium Shading 2" w:uiPriority="64" w:semiHidden="0" w:unhideWhenUsed="0"/>
    <w:lsdException w:name="Medium Shading 1 Accent 2" w:uiPriority="63" w:semiHidden="0" w:unhideWhenUsed="0"/>
    <w:lsdException w:name="heading 6" w:uiPriority="9" w:qFormat="1"/>
    <w:lsdException w:name="Colorful Grid Accent 4" w:uiPriority="73" w:semiHidden="0" w:unhideWhenUsed="0"/>
    <w:lsdException w:name="Quote" w:uiPriority="29" w:semiHidden="0" w:unhideWhenUsed="0" w:qFormat="1"/>
    <w:lsdException w:name="Intense Quote" w:uiPriority="30" w:semiHidden="0" w:unhideWhenUsed="0" w:qFormat="1"/>
    <w:lsdException w:name="Medium Shading 2 Accent 2" w:uiPriority="64" w:semiHidden="0" w:unhideWhenUsed="0"/>
    <w:lsdException w:name="toc 9" w:uiPriority="39"/>
    <w:lsdException w:name="Light Grid Accent 3" w:uiPriority="62" w:semiHidden="0" w:unhideWhenUsed="0"/>
    <w:lsdException w:name="Light List Accent 1" w:uiPriority="61" w:semiHidden="0" w:unhideWhenUsed="0"/>
    <w:lsdException w:name="heading 3" w:uiPriority="9" w:qFormat="1"/>
    <w:lsdException w:name="Medium List 1" w:uiPriority="65" w:semiHidden="0" w:unhideWhenUsed="0"/>
    <w:lsdException w:name="Light Shading" w:uiPriority="60" w:semiHidden="0" w:unhideWhenUsed="0"/>
    <w:lsdException w:name="Default Paragraph Font" w:uiPriority="1"/>
    <w:lsdException w:name="Colorful Shading Accent 4" w:uiPriority="71" w:semiHidden="0" w:unhideWhenUsed="0"/>
    <w:lsdException w:name="Medium List 1 Accent 6" w:uiPriority="65" w:semiHidden="0" w:unhideWhenUsed="0"/>
    <w:lsdException w:name="Colorful Grid Accent 1" w:uiPriority="73" w:semiHidden="0" w:unhideWhenUsed="0"/>
    <w:lsdException w:name="Colorful List Accent 2" w:uiPriority="72" w:semiHidden="0" w:unhideWhenUsed="0"/>
    <w:lsdException w:name="Light Shading Accent 2" w:uiPriority="60" w:semiHidden="0" w:unhideWhenUsed="0"/>
  </w:latentStyles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9"/>
      </w:numPr>
      <w:contextualSpacing w:val="1"/>
    </w:p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0"/>
      </w:numPr>
      <w:contextualSpacing w:val="1"/>
    </w:p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1"/>
      </w:numPr>
      <w:contextualSpacing w:val="1"/>
    </w:p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2"/>
      </w:numPr>
      <w:contextualSpacing w:val="1"/>
    </w:p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40" w:after="120"/>
      <w:outlineLvl w:val="2"/>
    </w:pPr>
    <w:rPr>
      <w:rFonts w:ascii="黑体" w:hAnsi="黑体" w:eastAsia="黑体"/>
      <w:b w:val="1"/>
      <w:bCs w:val="1"/>
      <w:color w:val="000000"/>
      <w:sz w:val="28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3"/>
      </w:numPr>
      <w:contextualSpacing w:val="1"/>
    </w:p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360" w:after="120"/>
      <w:outlineLvl w:val="1"/>
    </w:pPr>
    <w:rPr>
      <w:rFonts w:ascii="黑体" w:hAnsi="黑体" w:eastAsia="黑体"/>
      <w:b w:val="1"/>
      <w:bCs w:val="1"/>
      <w:color w:val="000000"/>
      <w:sz w:val="30"/>
      <w:szCs w:val="26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jc w:val="center"/>
      <w:outlineLvl w:val="0"/>
    </w:pPr>
    <w:rPr>
      <w:rFonts w:ascii="黑体" w:hAnsi="黑体" w:eastAsia="黑体"/>
      <w:b w:val="1"/>
      <w:bCs w:val="1"/>
      <w:color w:val="000000"/>
      <w:sz w:val="36"/>
      <w:szCs w:val="28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4"/>
      </w:numPr>
      <w:contextualSpacing w:val="1"/>
    </w:pPr>
  </w:style>
  <w:style w:type="paragraph" w:styleId="000002" w:default="1">
    <w:name w:val="Normal"/>
    <w:qFormat w:val="1"/>
    <w:rsid w:val="00FC693F"/>
    <w:pPr>
      <w:spacing w:after="120" w:line="306" w:lineRule="auto"/>
      <w:ind w:firstLine="480"/>
      <w:jc w:val="left"/>
    </w:pPr>
    <w:rPr>
      <w:rFonts w:ascii="Times New Roman" w:hAnsi="Times New Roman" w:eastAsia="Times New Roman"/>
      <w:color w:val="000000"/>
      <w:sz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5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2026-10-01T22:45:40Z</dcterms:created>
  <dcterms:modified xsi:type="dcterms:W3CDTF">2026-10-01T22:45:40Z</dcterms:modified>
</cp:coreProperties>
</file>