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F7226E">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b/>
          <w:color w:val="000000" w:themeColor="text1"/>
          <w:sz w:val="24"/>
          <w14:textFill>
            <w14:solidFill>
              <w14:schemeClr w14:val="tx1"/>
            </w14:solidFill>
          </w14:textFill>
        </w:rPr>
        <w:t>武汉理工大学</w:t>
      </w:r>
    </w:p>
    <w:p w14:paraId="0CF04AF5">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b/>
          <w:color w:val="000000" w:themeColor="text1"/>
          <w:sz w:val="24"/>
          <w14:textFill>
            <w14:solidFill>
              <w14:schemeClr w14:val="tx1"/>
            </w14:solidFill>
          </w14:textFill>
        </w:rPr>
        <w:t>本科毕业设计（论文）</w:t>
      </w:r>
    </w:p>
    <w:p w14:paraId="127F74CD">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b/>
          <w:color w:val="000000" w:themeColor="text1"/>
          <w:sz w:val="24"/>
          <w14:textFill>
            <w14:solidFill>
              <w14:schemeClr w14:val="tx1"/>
            </w14:solidFill>
          </w14:textFill>
        </w:rPr>
        <w:t>面向PCB金手指的测试尾板布点布线设计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77"/>
        <w:gridCol w:w="4677"/>
      </w:tblGrid>
      <w:tr w14:paraId="1DD50E23">
        <w:trPr>
          <w:tblHeader/>
          <w:jc w:val="center"/>
        </w:trPr>
        <w:tc>
          <w:tcPr>
            <w:tcW w:w="2268" w:type="dxa"/>
            <w:vAlign w:val="center"/>
          </w:tcPr>
          <w:p w14:paraId="04B6633C">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学院</w:t>
            </w:r>
          </w:p>
        </w:tc>
        <w:tc>
          <w:tcPr>
            <w:tcW w:w="5102" w:type="dxa"/>
            <w:vAlign w:val="center"/>
          </w:tcPr>
          <w:p w14:paraId="39C1C60C">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信息工程学院</w:t>
            </w:r>
          </w:p>
        </w:tc>
      </w:tr>
      <w:tr w14:paraId="1FE10F07">
        <w:trPr>
          <w:jc w:val="center"/>
        </w:trPr>
        <w:tc>
          <w:tcPr>
            <w:tcW w:w="2268" w:type="dxa"/>
            <w:vAlign w:val="center"/>
          </w:tcPr>
          <w:p w14:paraId="3F8BD224">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专业</w:t>
            </w:r>
          </w:p>
        </w:tc>
        <w:tc>
          <w:tcPr>
            <w:tcW w:w="5102" w:type="dxa"/>
            <w:vAlign w:val="center"/>
          </w:tcPr>
          <w:p w14:paraId="36E85480">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集成电路设计与集成系统</w:t>
            </w:r>
          </w:p>
        </w:tc>
      </w:tr>
      <w:tr w14:paraId="1821AF46">
        <w:trPr>
          <w:jc w:val="center"/>
        </w:trPr>
        <w:tc>
          <w:tcPr>
            <w:tcW w:w="2268" w:type="dxa"/>
            <w:vAlign w:val="center"/>
          </w:tcPr>
          <w:p w14:paraId="098C51F2">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班级</w:t>
            </w:r>
          </w:p>
        </w:tc>
        <w:tc>
          <w:tcPr>
            <w:tcW w:w="5102" w:type="dxa"/>
            <w:vAlign w:val="center"/>
          </w:tcPr>
          <w:p w14:paraId="29D8E2A9">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集成电路2201</w:t>
            </w:r>
          </w:p>
        </w:tc>
      </w:tr>
      <w:tr w14:paraId="3F5A9CF5">
        <w:trPr>
          <w:jc w:val="center"/>
        </w:trPr>
        <w:tc>
          <w:tcPr>
            <w:tcW w:w="2268" w:type="dxa"/>
            <w:vAlign w:val="center"/>
          </w:tcPr>
          <w:p w14:paraId="252A0D2C">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学生姓名</w:t>
            </w:r>
          </w:p>
        </w:tc>
        <w:tc>
          <w:tcPr>
            <w:tcW w:w="5102" w:type="dxa"/>
            <w:vAlign w:val="center"/>
          </w:tcPr>
          <w:p w14:paraId="569A6CB8">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刘政</w:t>
            </w:r>
          </w:p>
        </w:tc>
      </w:tr>
      <w:tr w14:paraId="3FDC1176">
        <w:trPr>
          <w:jc w:val="center"/>
        </w:trPr>
        <w:tc>
          <w:tcPr>
            <w:tcW w:w="2268" w:type="dxa"/>
            <w:vAlign w:val="center"/>
          </w:tcPr>
          <w:p w14:paraId="201FE47D">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指导教师</w:t>
            </w:r>
          </w:p>
        </w:tc>
        <w:tc>
          <w:tcPr>
            <w:tcW w:w="5102" w:type="dxa"/>
            <w:vAlign w:val="center"/>
          </w:tcPr>
          <w:p w14:paraId="094C1B16">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徐宁</w:t>
            </w:r>
          </w:p>
        </w:tc>
      </w:tr>
      <w:tr w14:paraId="6FFF9525">
        <w:trPr>
          <w:jc w:val="center"/>
        </w:trPr>
        <w:tc>
          <w:tcPr>
            <w:tcW w:w="2268" w:type="dxa"/>
            <w:vAlign w:val="center"/>
          </w:tcPr>
          <w:p w14:paraId="389961F2">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完成日期</w:t>
            </w:r>
          </w:p>
        </w:tc>
        <w:tc>
          <w:tcPr>
            <w:tcW w:w="5102" w:type="dxa"/>
            <w:vAlign w:val="center"/>
          </w:tcPr>
          <w:p w14:paraId="3B354C90">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2026年5月</w:t>
            </w:r>
          </w:p>
        </w:tc>
      </w:tr>
      <w:tr w14:paraId="4BD794A0">
        <w:trPr>
          <w:jc w:val="center"/>
        </w:trPr>
        <w:tc>
          <w:tcPr>
            <w:tcW w:w="2268" w:type="dxa"/>
            <w:vAlign w:val="center"/>
          </w:tcPr>
          <w:p w14:paraId="2D94369F">
            <w:pPr>
              <w:spacing w:before="0" w:after="0" w:line="280" w:lineRule="exact"/>
              <w:jc w:val="center"/>
              <w:rPr>
                <w:color w:val="000000" w:themeColor="text1"/>
                <w14:textFill>
                  <w14:solidFill>
                    <w14:schemeClr w14:val="tx1"/>
                  </w14:solidFill>
                </w14:textFill>
              </w:rPr>
            </w:pPr>
          </w:p>
        </w:tc>
        <w:tc>
          <w:tcPr>
            <w:tcW w:w="5102" w:type="dxa"/>
            <w:vAlign w:val="center"/>
          </w:tcPr>
          <w:p w14:paraId="6E5D7733">
            <w:pPr>
              <w:spacing w:before="0" w:after="0" w:line="280" w:lineRule="exact"/>
              <w:jc w:val="center"/>
              <w:rPr>
                <w:color w:val="000000" w:themeColor="text1"/>
                <w14:textFill>
                  <w14:solidFill>
                    <w14:schemeClr w14:val="tx1"/>
                  </w14:solidFill>
                </w14:textFill>
              </w:rPr>
            </w:pPr>
          </w:p>
        </w:tc>
      </w:tr>
    </w:tbl>
    <w:p w14:paraId="01E3081F">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22CC7D4C">
      <w:pPr>
        <w:pStyle w:val="3"/>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学位论文原创性声明</w:t>
      </w:r>
    </w:p>
    <w:p w14:paraId="21084DB6">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本人郑重声明：所呈交的毕业设计（论文）是本人在指导教师指导下独立进行研究所取得的成果。除文中已经注明引用的内容外，本论文不包含任何其他个人或集体已经发表或撰写过的作品或成果。对本文研究作出重要贡献的个人和集体，均已在文中以明确方式标明。本人完全意识到本声明的法律后果由本人承担。</w:t>
      </w:r>
    </w:p>
    <w:p w14:paraId="2A816DA4">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作者签名：                       年    月    日</w:t>
      </w:r>
    </w:p>
    <w:p w14:paraId="1FA7B530">
      <w:pPr>
        <w:spacing w:before="0" w:after="0" w:line="400" w:lineRule="exact"/>
        <w:ind w:firstLine="420"/>
        <w:jc w:val="both"/>
        <w:rPr>
          <w:color w:val="000000" w:themeColor="text1"/>
          <w14:textFill>
            <w14:solidFill>
              <w14:schemeClr w14:val="tx1"/>
            </w14:solidFill>
          </w14:textFill>
        </w:rPr>
        <w:sectPr>
          <w:pgSz w:w="11906" w:h="16838"/>
          <w:pgMar w:top="1417" w:right="1134" w:bottom="1134" w:left="1417" w:header="1474" w:footer="1361" w:gutter="0"/>
          <w:cols w:space="720" w:num="1"/>
          <w:docGrid w:linePitch="360" w:charSpace="0"/>
        </w:sectPr>
      </w:pPr>
      <w:r>
        <w:rPr>
          <w:rFonts w:ascii="Times New Roman" w:hAnsi="Times New Roman" w:eastAsia="宋体"/>
          <w:color w:val="000000" w:themeColor="text1"/>
          <w:sz w:val="24"/>
          <w14:textFill>
            <w14:solidFill>
              <w14:schemeClr w14:val="tx1"/>
            </w14:solidFill>
          </w14:textFill>
        </w:rPr>
        <w:t>指导教师签名：                   年    月    日</w:t>
      </w:r>
    </w:p>
    <w:p w14:paraId="79B224D7">
      <w:pPr>
        <w:pStyle w:val="3"/>
        <w:rPr>
          <w:color w:val="000000" w:themeColor="text1"/>
          <w14:textFill>
            <w14:solidFill>
              <w14:schemeClr w14:val="tx1"/>
            </w14:solidFill>
          </w14:textFill>
        </w:rPr>
      </w:pPr>
      <w:r>
        <w:rPr>
          <w:color w:val="000000" w:themeColor="text1"/>
          <w14:textFill>
            <w14:solidFill>
              <w14:schemeClr w14:val="tx1"/>
            </w14:solidFill>
          </w14:textFill>
        </w:rPr>
        <w:t>摘  要</w:t>
      </w:r>
    </w:p>
    <w:p w14:paraId="2EFFC559">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PCB金手指是板卡与外部设备、测试夹具及扩展接口之间完成电气连接的重要边缘接口，具有端子密度高、边缘空间受限、信号类型混合和接触可靠性要求高等特点。针对生产测试阶段人工布点布线效率低、局部通道拥挤和尾板面积利用率不足等问题，本文面向金手指测试尾板建立几何约束与布线约束统一的模型。在A*路径搜索和PSO-Hanan布点框架基础上，引入网络流容量建模、领域模型分区、蚁群信息素启发和合法化约束思想，构建“候选测试点生成—约束筛选—布点优化—拥塞感知布线—拆线重布—指标评估”的自动化流程。算法将尾板区域抽象为网格与Tile混合模型，区分测试点间距、障碍避让、边界余量等硬约束与面积、线长、拥塞等软目标，并通过K-means分组、禁忌局部搜索、PSO-Hanan候选优化和动态拥塞代价改进布线结果。五组参数化案例结果表明，在本文设定的低密度、中密度、高密度、含障碍和面积受限场景中，所提方法均实现100%覆盖率与100%布通率，平均尾板面积占比由基线方案的59.19%降低至14.57%，平均总线长由2014.40 mm降低至838.60 mm。</w:t>
      </w:r>
    </w:p>
    <w:p w14:paraId="2C1967AA">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关键词：PCB金手指；测试尾板；布点布线；拥塞感知；A*算法</w:t>
      </w:r>
    </w:p>
    <w:p w14:paraId="1B17B0DB">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733BC8CD">
      <w:pPr>
        <w:pStyle w:val="3"/>
        <w:rPr>
          <w:color w:val="000000" w:themeColor="text1"/>
          <w14:textFill>
            <w14:solidFill>
              <w14:schemeClr w14:val="tx1"/>
            </w14:solidFill>
          </w14:textFill>
        </w:rPr>
      </w:pPr>
      <w:r>
        <w:rPr>
          <w:color w:val="000000" w:themeColor="text1"/>
          <w14:textFill>
            <w14:solidFill>
              <w14:schemeClr w14:val="tx1"/>
            </w14:solidFill>
          </w14:textFill>
        </w:rPr>
        <w:t>Abstract</w:t>
      </w:r>
    </w:p>
    <w:p w14:paraId="088E449D">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PCB gold fingers are dense edge contacts used for board-level interconnection, fixture contact and functional testing. A test tailboard must place accessible test pads and route each gold-finger terminal to its corresponding pad within a limited region, while satisfying spacing, obstacle-avoidance and manufacturability constraints. To reduce the dependence on manual experience in high-density and area-limited scenarios, this thesis builds a unified placement-and-routing model for PCB gold-finger test tailboards. Based on the previous A*-based routing and PSO-Hanan placement framework, the proposed method introduces network-flow capacity modeling, domain-model partitioning, ant-colony pheromone-inspired congestion feedback and legalization-oriented design rules. The tailboard region is represented as a hybrid grid-and-Tile model. Pad spacing, obstacle clearance and boundary margin are treated as hard constraints, whereas occupied area, routing length and congestion are optimized as soft objectives. A C++17 prototype implements candidate generation, K-means grouping, tabu local search, PSO-Hanan placement, congestion-aware A* routing, rip-up/reroute evaluation and CSV/SVG result export. Five parameterized cases, including low-density, medium-density, high-density, obstacle-constrained and area-limited scenarios, are used to evaluate the method. The results show that the proposed scheme achieves full pad coverage and full routability in all five cases. Compared with the rule-based baseline, the average occupied tailboard-area ratio is reduced from 59.19% to 14.57%, and the average total routing length is reduced from 2014.40 mm to 838.60 mm. The study provides an interpretable and reproducible algorithmic basis for automated test-tailboard design and for further integration into domestic EDA tools.</w:t>
      </w:r>
    </w:p>
    <w:p w14:paraId="3E21446B">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Key words: PCB gold finger; test tailboard; placement and routing; congestion-aware routing; A* algorithm</w:t>
      </w:r>
    </w:p>
    <w:p w14:paraId="10306B3F">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29C6946C">
      <w:pPr>
        <w:pStyle w:val="3"/>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目  录</w:t>
      </w:r>
    </w:p>
    <w:p w14:paraId="52C304BB">
      <w:pPr>
        <w:pageBreakBefore w:val="0"/>
        <w:tabs>
          <w:tab w:val="right" w:leader="dot" w:pos="8617"/>
        </w:tabs>
        <w:spacing w:before="0" w:after="0" w:line="32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 绪论</w:t>
      </w:r>
      <w:r>
        <w:rPr>
          <w:rFonts w:ascii="Times New Roman" w:hAnsi="Times New Roman" w:eastAsia="宋体"/>
          <w:b w:val="0"/>
          <w:color w:val="000000" w:themeColor="text1"/>
          <w:sz w:val="21"/>
          <w14:textFill>
            <w14:solidFill>
              <w14:schemeClr w14:val="tx1"/>
            </w14:solidFill>
          </w14:textFill>
        </w:rPr>
        <w:tab/>
      </w:r>
      <w:r>
        <w:rPr>
          <w:rFonts w:ascii="Times New Roman" w:hAnsi="Times New Roman" w:eastAsia="宋体"/>
          <w:b w:val="0"/>
          <w:color w:val="000000" w:themeColor="text1"/>
          <w:sz w:val="21"/>
          <w14:textFill>
            <w14:solidFill>
              <w14:schemeClr w14:val="tx1"/>
            </w14:solidFill>
          </w14:textFill>
        </w:rPr>
        <w:t>1</w:t>
      </w:r>
    </w:p>
    <w:p w14:paraId="29701CEC">
      <w:pPr>
        <w:pageBreakBefore w:val="0"/>
        <w:tabs>
          <w:tab w:val="right" w:leader="dot" w:pos="8617"/>
        </w:tabs>
        <w:spacing w:before="0" w:after="0" w:line="32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 xml:space="preserve">    1.1 研究背景</w:t>
      </w:r>
      <w:r>
        <w:rPr>
          <w:rFonts w:ascii="Times New Roman" w:hAnsi="Times New Roman" w:eastAsia="宋体"/>
          <w:b w:val="0"/>
          <w:color w:val="000000" w:themeColor="text1"/>
          <w:sz w:val="21"/>
          <w14:textFill>
            <w14:solidFill>
              <w14:schemeClr w14:val="tx1"/>
            </w14:solidFill>
          </w14:textFill>
        </w:rPr>
        <w:tab/>
      </w:r>
      <w:r>
        <w:rPr>
          <w:rFonts w:ascii="Times New Roman" w:hAnsi="Times New Roman" w:eastAsia="宋体"/>
          <w:b w:val="0"/>
          <w:color w:val="000000" w:themeColor="text1"/>
          <w:sz w:val="21"/>
          <w14:textFill>
            <w14:solidFill>
              <w14:schemeClr w14:val="tx1"/>
            </w14:solidFill>
          </w14:textFill>
        </w:rPr>
        <w:t>1</w:t>
      </w:r>
    </w:p>
    <w:p w14:paraId="1051CC1B">
      <w:pPr>
        <w:pageBreakBefore w:val="0"/>
        <w:tabs>
          <w:tab w:val="right" w:leader="dot" w:pos="8617"/>
        </w:tabs>
        <w:spacing w:before="0" w:after="0" w:line="32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 xml:space="preserve">    1.2 国内外研究现状</w:t>
      </w:r>
      <w:r>
        <w:rPr>
          <w:rFonts w:ascii="Times New Roman" w:hAnsi="Times New Roman" w:eastAsia="宋体"/>
          <w:b w:val="0"/>
          <w:color w:val="000000" w:themeColor="text1"/>
          <w:sz w:val="21"/>
          <w14:textFill>
            <w14:solidFill>
              <w14:schemeClr w14:val="tx1"/>
            </w14:solidFill>
          </w14:textFill>
        </w:rPr>
        <w:tab/>
      </w:r>
      <w:r>
        <w:rPr>
          <w:rFonts w:ascii="Times New Roman" w:hAnsi="Times New Roman" w:eastAsia="宋体"/>
          <w:b w:val="0"/>
          <w:color w:val="000000" w:themeColor="text1"/>
          <w:sz w:val="21"/>
          <w14:textFill>
            <w14:solidFill>
              <w14:schemeClr w14:val="tx1"/>
            </w14:solidFill>
          </w14:textFill>
        </w:rPr>
        <w:t>1</w:t>
      </w:r>
    </w:p>
    <w:p w14:paraId="1B771084">
      <w:pPr>
        <w:pageBreakBefore w:val="0"/>
        <w:tabs>
          <w:tab w:val="right" w:leader="dot" w:pos="8617"/>
        </w:tabs>
        <w:spacing w:before="0" w:after="0" w:line="32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 xml:space="preserve">    1.3 研究内容与论文结构</w:t>
      </w:r>
      <w:r>
        <w:rPr>
          <w:rFonts w:ascii="Times New Roman" w:hAnsi="Times New Roman" w:eastAsia="宋体"/>
          <w:b w:val="0"/>
          <w:color w:val="000000" w:themeColor="text1"/>
          <w:sz w:val="21"/>
          <w14:textFill>
            <w14:solidFill>
              <w14:schemeClr w14:val="tx1"/>
            </w14:solidFill>
          </w14:textFill>
        </w:rPr>
        <w:tab/>
      </w:r>
      <w:r>
        <w:rPr>
          <w:rFonts w:ascii="Times New Roman" w:hAnsi="Times New Roman" w:eastAsia="宋体"/>
          <w:b w:val="0"/>
          <w:color w:val="000000" w:themeColor="text1"/>
          <w:sz w:val="21"/>
          <w14:textFill>
            <w14:solidFill>
              <w14:schemeClr w14:val="tx1"/>
            </w14:solidFill>
          </w14:textFill>
        </w:rPr>
        <w:t>3</w:t>
      </w:r>
    </w:p>
    <w:p w14:paraId="3A8AD93E">
      <w:pPr>
        <w:pageBreakBefore w:val="0"/>
        <w:tabs>
          <w:tab w:val="right" w:leader="dot" w:pos="8617"/>
        </w:tabs>
        <w:spacing w:before="0" w:after="0" w:line="32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 xml:space="preserve">    1.4 任务书要求与完成情况</w:t>
      </w:r>
      <w:r>
        <w:rPr>
          <w:rFonts w:ascii="Times New Roman" w:hAnsi="Times New Roman" w:eastAsia="宋体"/>
          <w:b w:val="0"/>
          <w:color w:val="000000" w:themeColor="text1"/>
          <w:sz w:val="21"/>
          <w14:textFill>
            <w14:solidFill>
              <w14:schemeClr w14:val="tx1"/>
            </w14:solidFill>
          </w14:textFill>
        </w:rPr>
        <w:tab/>
      </w:r>
      <w:r>
        <w:rPr>
          <w:rFonts w:ascii="Times New Roman" w:hAnsi="Times New Roman" w:eastAsia="宋体"/>
          <w:b w:val="0"/>
          <w:color w:val="000000" w:themeColor="text1"/>
          <w:sz w:val="21"/>
          <w14:textFill>
            <w14:solidFill>
              <w14:schemeClr w14:val="tx1"/>
            </w14:solidFill>
          </w14:textFill>
        </w:rPr>
        <w:t>4</w:t>
      </w:r>
    </w:p>
    <w:p w14:paraId="512BFFB5">
      <w:pPr>
        <w:pageBreakBefore w:val="0"/>
        <w:tabs>
          <w:tab w:val="right" w:leader="dot" w:pos="8617"/>
        </w:tabs>
        <w:spacing w:before="0" w:after="0" w:line="32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 xml:space="preserve">    1.5 本文创新点</w:t>
      </w:r>
      <w:r>
        <w:rPr>
          <w:rFonts w:ascii="Times New Roman" w:hAnsi="Times New Roman" w:eastAsia="宋体"/>
          <w:b w:val="0"/>
          <w:color w:val="000000" w:themeColor="text1"/>
          <w:sz w:val="21"/>
          <w14:textFill>
            <w14:solidFill>
              <w14:schemeClr w14:val="tx1"/>
            </w14:solidFill>
          </w14:textFill>
        </w:rPr>
        <w:tab/>
      </w:r>
      <w:r>
        <w:rPr>
          <w:rFonts w:ascii="Times New Roman" w:hAnsi="Times New Roman" w:eastAsia="宋体"/>
          <w:b w:val="0"/>
          <w:color w:val="000000" w:themeColor="text1"/>
          <w:sz w:val="21"/>
          <w14:textFill>
            <w14:solidFill>
              <w14:schemeClr w14:val="tx1"/>
            </w14:solidFill>
          </w14:textFill>
        </w:rPr>
        <w:t>5</w:t>
      </w:r>
    </w:p>
    <w:p w14:paraId="5DB196D6">
      <w:pPr>
        <w:pageBreakBefore w:val="0"/>
        <w:tabs>
          <w:tab w:val="right" w:leader="dot" w:pos="8617"/>
        </w:tabs>
        <w:spacing w:before="0" w:after="0" w:line="32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2 相关理论与约束建模</w:t>
      </w:r>
      <w:r>
        <w:rPr>
          <w:rFonts w:ascii="Times New Roman" w:hAnsi="Times New Roman" w:eastAsia="宋体"/>
          <w:b w:val="0"/>
          <w:color w:val="000000" w:themeColor="text1"/>
          <w:sz w:val="21"/>
          <w14:textFill>
            <w14:solidFill>
              <w14:schemeClr w14:val="tx1"/>
            </w14:solidFill>
          </w14:textFill>
        </w:rPr>
        <w:tab/>
      </w:r>
      <w:r>
        <w:rPr>
          <w:rFonts w:ascii="Times New Roman" w:hAnsi="Times New Roman" w:eastAsia="宋体"/>
          <w:b w:val="0"/>
          <w:color w:val="000000" w:themeColor="text1"/>
          <w:sz w:val="21"/>
          <w14:textFill>
            <w14:solidFill>
              <w14:schemeClr w14:val="tx1"/>
            </w14:solidFill>
          </w14:textFill>
        </w:rPr>
        <w:t>6</w:t>
      </w:r>
    </w:p>
    <w:p w14:paraId="18353248">
      <w:pPr>
        <w:pageBreakBefore w:val="0"/>
        <w:tabs>
          <w:tab w:val="right" w:leader="dot" w:pos="8617"/>
        </w:tabs>
        <w:spacing w:before="0" w:after="0" w:line="32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 xml:space="preserve">    2.1 PCB金手指与测试尾板结构</w:t>
      </w:r>
      <w:r>
        <w:rPr>
          <w:rFonts w:ascii="Times New Roman" w:hAnsi="Times New Roman" w:eastAsia="宋体"/>
          <w:b w:val="0"/>
          <w:color w:val="000000" w:themeColor="text1"/>
          <w:sz w:val="21"/>
          <w14:textFill>
            <w14:solidFill>
              <w14:schemeClr w14:val="tx1"/>
            </w14:solidFill>
          </w14:textFill>
        </w:rPr>
        <w:tab/>
      </w:r>
      <w:r>
        <w:rPr>
          <w:rFonts w:ascii="Times New Roman" w:hAnsi="Times New Roman" w:eastAsia="宋体"/>
          <w:b w:val="0"/>
          <w:color w:val="000000" w:themeColor="text1"/>
          <w:sz w:val="21"/>
          <w14:textFill>
            <w14:solidFill>
              <w14:schemeClr w14:val="tx1"/>
            </w14:solidFill>
          </w14:textFill>
        </w:rPr>
        <w:t>6</w:t>
      </w:r>
    </w:p>
    <w:p w14:paraId="62BB40AD">
      <w:pPr>
        <w:pageBreakBefore w:val="0"/>
        <w:tabs>
          <w:tab w:val="right" w:leader="dot" w:pos="8617"/>
        </w:tabs>
        <w:spacing w:before="0" w:after="0" w:line="32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 xml:space="preserve">    2.2 布点布线数学模型</w:t>
      </w:r>
      <w:r>
        <w:rPr>
          <w:rFonts w:ascii="Times New Roman" w:hAnsi="Times New Roman" w:eastAsia="宋体"/>
          <w:b w:val="0"/>
          <w:color w:val="000000" w:themeColor="text1"/>
          <w:sz w:val="21"/>
          <w14:textFill>
            <w14:solidFill>
              <w14:schemeClr w14:val="tx1"/>
            </w14:solidFill>
          </w14:textFill>
        </w:rPr>
        <w:tab/>
      </w:r>
      <w:r>
        <w:rPr>
          <w:rFonts w:ascii="Times New Roman" w:hAnsi="Times New Roman" w:eastAsia="宋体"/>
          <w:b w:val="0"/>
          <w:color w:val="000000" w:themeColor="text1"/>
          <w:sz w:val="21"/>
          <w14:textFill>
            <w14:solidFill>
              <w14:schemeClr w14:val="tx1"/>
            </w14:solidFill>
          </w14:textFill>
        </w:rPr>
        <w:t>6</w:t>
      </w:r>
    </w:p>
    <w:p w14:paraId="0DC0A525">
      <w:pPr>
        <w:pageBreakBefore w:val="0"/>
        <w:tabs>
          <w:tab w:val="right" w:leader="dot" w:pos="8617"/>
        </w:tabs>
        <w:spacing w:before="0" w:after="0" w:line="32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 xml:space="preserve">    2.3 基于Tile和网络流思想的尾板等效建模</w:t>
      </w:r>
      <w:r>
        <w:rPr>
          <w:rFonts w:ascii="Times New Roman" w:hAnsi="Times New Roman" w:eastAsia="宋体"/>
          <w:b w:val="0"/>
          <w:color w:val="000000" w:themeColor="text1"/>
          <w:sz w:val="21"/>
          <w14:textFill>
            <w14:solidFill>
              <w14:schemeClr w14:val="tx1"/>
            </w14:solidFill>
          </w14:textFill>
        </w:rPr>
        <w:tab/>
      </w:r>
      <w:r>
        <w:rPr>
          <w:rFonts w:ascii="Times New Roman" w:hAnsi="Times New Roman" w:eastAsia="宋体"/>
          <w:b w:val="0"/>
          <w:color w:val="000000" w:themeColor="text1"/>
          <w:sz w:val="21"/>
          <w14:textFill>
            <w14:solidFill>
              <w14:schemeClr w14:val="tx1"/>
            </w14:solidFill>
          </w14:textFill>
        </w:rPr>
        <w:t>7</w:t>
      </w:r>
    </w:p>
    <w:p w14:paraId="7C351A8A">
      <w:pPr>
        <w:pageBreakBefore w:val="0"/>
        <w:tabs>
          <w:tab w:val="right" w:leader="dot" w:pos="8617"/>
        </w:tabs>
        <w:spacing w:before="0" w:after="0" w:line="32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 xml:space="preserve">    2.4 约束优先级与合法性判定</w:t>
      </w:r>
      <w:r>
        <w:rPr>
          <w:rFonts w:ascii="Times New Roman" w:hAnsi="Times New Roman" w:eastAsia="宋体"/>
          <w:b w:val="0"/>
          <w:color w:val="000000" w:themeColor="text1"/>
          <w:sz w:val="21"/>
          <w14:textFill>
            <w14:solidFill>
              <w14:schemeClr w14:val="tx1"/>
            </w14:solidFill>
          </w14:textFill>
        </w:rPr>
        <w:tab/>
      </w:r>
      <w:r>
        <w:rPr>
          <w:rFonts w:ascii="Times New Roman" w:hAnsi="Times New Roman" w:eastAsia="宋体"/>
          <w:b w:val="0"/>
          <w:color w:val="000000" w:themeColor="text1"/>
          <w:sz w:val="21"/>
          <w14:textFill>
            <w14:solidFill>
              <w14:schemeClr w14:val="tx1"/>
            </w14:solidFill>
          </w14:textFill>
        </w:rPr>
        <w:t>7</w:t>
      </w:r>
    </w:p>
    <w:p w14:paraId="3FE1BD5C">
      <w:pPr>
        <w:pageBreakBefore w:val="0"/>
        <w:tabs>
          <w:tab w:val="right" w:leader="dot" w:pos="8617"/>
        </w:tabs>
        <w:spacing w:before="0" w:after="0" w:line="32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 xml:space="preserve">    2.5 文献理论到本文模型的转化</w:t>
      </w:r>
      <w:r>
        <w:rPr>
          <w:rFonts w:ascii="Times New Roman" w:hAnsi="Times New Roman" w:eastAsia="宋体"/>
          <w:b w:val="0"/>
          <w:color w:val="000000" w:themeColor="text1"/>
          <w:sz w:val="21"/>
          <w14:textFill>
            <w14:solidFill>
              <w14:schemeClr w14:val="tx1"/>
            </w14:solidFill>
          </w14:textFill>
        </w:rPr>
        <w:tab/>
      </w:r>
      <w:r>
        <w:rPr>
          <w:rFonts w:ascii="Times New Roman" w:hAnsi="Times New Roman" w:eastAsia="宋体"/>
          <w:b w:val="0"/>
          <w:color w:val="000000" w:themeColor="text1"/>
          <w:sz w:val="21"/>
          <w14:textFill>
            <w14:solidFill>
              <w14:schemeClr w14:val="tx1"/>
            </w14:solidFill>
          </w14:textFill>
        </w:rPr>
        <w:t>8</w:t>
      </w:r>
    </w:p>
    <w:p w14:paraId="550F5CF4">
      <w:pPr>
        <w:pageBreakBefore w:val="0"/>
        <w:tabs>
          <w:tab w:val="right" w:leader="dot" w:pos="8617"/>
        </w:tabs>
        <w:spacing w:before="0" w:after="0" w:line="32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3 测试点布点算法设计</w:t>
      </w:r>
      <w:r>
        <w:rPr>
          <w:rFonts w:ascii="Times New Roman" w:hAnsi="Times New Roman" w:eastAsia="宋体"/>
          <w:b w:val="0"/>
          <w:color w:val="000000" w:themeColor="text1"/>
          <w:sz w:val="21"/>
          <w14:textFill>
            <w14:solidFill>
              <w14:schemeClr w14:val="tx1"/>
            </w14:solidFill>
          </w14:textFill>
        </w:rPr>
        <w:tab/>
      </w:r>
      <w:r>
        <w:rPr>
          <w:rFonts w:ascii="Times New Roman" w:hAnsi="Times New Roman" w:eastAsia="宋体"/>
          <w:b w:val="0"/>
          <w:color w:val="000000" w:themeColor="text1"/>
          <w:sz w:val="21"/>
          <w14:textFill>
            <w14:solidFill>
              <w14:schemeClr w14:val="tx1"/>
            </w14:solidFill>
          </w14:textFill>
        </w:rPr>
        <w:t>10</w:t>
      </w:r>
    </w:p>
    <w:p w14:paraId="3A369A7A">
      <w:pPr>
        <w:pageBreakBefore w:val="0"/>
        <w:tabs>
          <w:tab w:val="right" w:leader="dot" w:pos="8617"/>
        </w:tabs>
        <w:spacing w:before="0" w:after="0" w:line="32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 xml:space="preserve">    3.1 候选点生成</w:t>
      </w:r>
      <w:r>
        <w:rPr>
          <w:rFonts w:ascii="Times New Roman" w:hAnsi="Times New Roman" w:eastAsia="宋体"/>
          <w:b w:val="0"/>
          <w:color w:val="000000" w:themeColor="text1"/>
          <w:sz w:val="21"/>
          <w14:textFill>
            <w14:solidFill>
              <w14:schemeClr w14:val="tx1"/>
            </w14:solidFill>
          </w14:textFill>
        </w:rPr>
        <w:tab/>
      </w:r>
      <w:r>
        <w:rPr>
          <w:rFonts w:ascii="Times New Roman" w:hAnsi="Times New Roman" w:eastAsia="宋体"/>
          <w:b w:val="0"/>
          <w:color w:val="000000" w:themeColor="text1"/>
          <w:sz w:val="21"/>
          <w14:textFill>
            <w14:solidFill>
              <w14:schemeClr w14:val="tx1"/>
            </w14:solidFill>
          </w14:textFill>
        </w:rPr>
        <w:t>10</w:t>
      </w:r>
    </w:p>
    <w:p w14:paraId="58E23BF1">
      <w:pPr>
        <w:pageBreakBefore w:val="0"/>
        <w:tabs>
          <w:tab w:val="right" w:leader="dot" w:pos="8617"/>
        </w:tabs>
        <w:spacing w:before="0" w:after="0" w:line="32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 xml:space="preserve">    3.2 K-means初始分组</w:t>
      </w:r>
      <w:r>
        <w:rPr>
          <w:rFonts w:ascii="Times New Roman" w:hAnsi="Times New Roman" w:eastAsia="宋体"/>
          <w:b w:val="0"/>
          <w:color w:val="000000" w:themeColor="text1"/>
          <w:sz w:val="21"/>
          <w14:textFill>
            <w14:solidFill>
              <w14:schemeClr w14:val="tx1"/>
            </w14:solidFill>
          </w14:textFill>
        </w:rPr>
        <w:tab/>
      </w:r>
      <w:r>
        <w:rPr>
          <w:rFonts w:ascii="Times New Roman" w:hAnsi="Times New Roman" w:eastAsia="宋体"/>
          <w:b w:val="0"/>
          <w:color w:val="000000" w:themeColor="text1"/>
          <w:sz w:val="21"/>
          <w14:textFill>
            <w14:solidFill>
              <w14:schemeClr w14:val="tx1"/>
            </w14:solidFill>
          </w14:textFill>
        </w:rPr>
        <w:t>10</w:t>
      </w:r>
    </w:p>
    <w:p w14:paraId="4572F70C">
      <w:pPr>
        <w:pageBreakBefore w:val="0"/>
        <w:tabs>
          <w:tab w:val="right" w:leader="dot" w:pos="8617"/>
        </w:tabs>
        <w:spacing w:before="0" w:after="0" w:line="32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 xml:space="preserve">    3.3 禁忌搜索局部优化</w:t>
      </w:r>
      <w:r>
        <w:rPr>
          <w:rFonts w:ascii="Times New Roman" w:hAnsi="Times New Roman" w:eastAsia="宋体"/>
          <w:b w:val="0"/>
          <w:color w:val="000000" w:themeColor="text1"/>
          <w:sz w:val="21"/>
          <w14:textFill>
            <w14:solidFill>
              <w14:schemeClr w14:val="tx1"/>
            </w14:solidFill>
          </w14:textFill>
        </w:rPr>
        <w:tab/>
      </w:r>
      <w:r>
        <w:rPr>
          <w:rFonts w:ascii="Times New Roman" w:hAnsi="Times New Roman" w:eastAsia="宋体"/>
          <w:b w:val="0"/>
          <w:color w:val="000000" w:themeColor="text1"/>
          <w:sz w:val="21"/>
          <w14:textFill>
            <w14:solidFill>
              <w14:schemeClr w14:val="tx1"/>
            </w14:solidFill>
          </w14:textFill>
        </w:rPr>
        <w:t>10</w:t>
      </w:r>
    </w:p>
    <w:p w14:paraId="54D04463">
      <w:pPr>
        <w:pageBreakBefore w:val="0"/>
        <w:tabs>
          <w:tab w:val="right" w:leader="dot" w:pos="8617"/>
        </w:tabs>
        <w:spacing w:before="0" w:after="0" w:line="32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 xml:space="preserve">    3.4 改进后的布点目标函数与步骤</w:t>
      </w:r>
      <w:r>
        <w:rPr>
          <w:rFonts w:ascii="Times New Roman" w:hAnsi="Times New Roman" w:eastAsia="宋体"/>
          <w:b w:val="0"/>
          <w:color w:val="000000" w:themeColor="text1"/>
          <w:sz w:val="21"/>
          <w14:textFill>
            <w14:solidFill>
              <w14:schemeClr w14:val="tx1"/>
            </w14:solidFill>
          </w14:textFill>
        </w:rPr>
        <w:tab/>
      </w:r>
      <w:r>
        <w:rPr>
          <w:rFonts w:ascii="Times New Roman" w:hAnsi="Times New Roman" w:eastAsia="宋体"/>
          <w:b w:val="0"/>
          <w:color w:val="000000" w:themeColor="text1"/>
          <w:sz w:val="21"/>
          <w14:textFill>
            <w14:solidFill>
              <w14:schemeClr w14:val="tx1"/>
            </w14:solidFill>
          </w14:textFill>
        </w:rPr>
        <w:t>10</w:t>
      </w:r>
    </w:p>
    <w:p w14:paraId="26367C7D">
      <w:pPr>
        <w:pageBreakBefore w:val="0"/>
        <w:tabs>
          <w:tab w:val="right" w:leader="dot" w:pos="8617"/>
        </w:tabs>
        <w:spacing w:before="0" w:after="0" w:line="32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4 布线算法与协同优化</w:t>
      </w:r>
      <w:r>
        <w:rPr>
          <w:rFonts w:ascii="Times New Roman" w:hAnsi="Times New Roman" w:eastAsia="宋体"/>
          <w:b w:val="0"/>
          <w:color w:val="000000" w:themeColor="text1"/>
          <w:sz w:val="21"/>
          <w14:textFill>
            <w14:solidFill>
              <w14:schemeClr w14:val="tx1"/>
            </w14:solidFill>
          </w14:textFill>
        </w:rPr>
        <w:tab/>
      </w:r>
      <w:r>
        <w:rPr>
          <w:rFonts w:ascii="Times New Roman" w:hAnsi="Times New Roman" w:eastAsia="宋体"/>
          <w:b w:val="0"/>
          <w:color w:val="000000" w:themeColor="text1"/>
          <w:sz w:val="21"/>
          <w14:textFill>
            <w14:solidFill>
              <w14:schemeClr w14:val="tx1"/>
            </w14:solidFill>
          </w14:textFill>
        </w:rPr>
        <w:t>12</w:t>
      </w:r>
    </w:p>
    <w:p w14:paraId="15DB4D73">
      <w:pPr>
        <w:pageBreakBefore w:val="0"/>
        <w:tabs>
          <w:tab w:val="right" w:leader="dot" w:pos="8617"/>
        </w:tabs>
        <w:spacing w:before="0" w:after="0" w:line="32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 xml:space="preserve">    4.1 A*网格布线</w:t>
      </w:r>
      <w:r>
        <w:rPr>
          <w:rFonts w:ascii="Times New Roman" w:hAnsi="Times New Roman" w:eastAsia="宋体"/>
          <w:b w:val="0"/>
          <w:color w:val="000000" w:themeColor="text1"/>
          <w:sz w:val="21"/>
          <w14:textFill>
            <w14:solidFill>
              <w14:schemeClr w14:val="tx1"/>
            </w14:solidFill>
          </w14:textFill>
        </w:rPr>
        <w:tab/>
      </w:r>
      <w:r>
        <w:rPr>
          <w:rFonts w:ascii="Times New Roman" w:hAnsi="Times New Roman" w:eastAsia="宋体"/>
          <w:b w:val="0"/>
          <w:color w:val="000000" w:themeColor="text1"/>
          <w:sz w:val="21"/>
          <w14:textFill>
            <w14:solidFill>
              <w14:schemeClr w14:val="tx1"/>
            </w14:solidFill>
          </w14:textFill>
        </w:rPr>
        <w:t>12</w:t>
      </w:r>
    </w:p>
    <w:p w14:paraId="6FFEE2FA">
      <w:pPr>
        <w:pageBreakBefore w:val="0"/>
        <w:tabs>
          <w:tab w:val="right" w:leader="dot" w:pos="8617"/>
        </w:tabs>
        <w:spacing w:before="0" w:after="0" w:line="32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 xml:space="preserve">    4.2 布点布线协同优化机制</w:t>
      </w:r>
      <w:r>
        <w:rPr>
          <w:rFonts w:ascii="Times New Roman" w:hAnsi="Times New Roman" w:eastAsia="宋体"/>
          <w:b w:val="0"/>
          <w:color w:val="000000" w:themeColor="text1"/>
          <w:sz w:val="21"/>
          <w14:textFill>
            <w14:solidFill>
              <w14:schemeClr w14:val="tx1"/>
            </w14:solidFill>
          </w14:textFill>
        </w:rPr>
        <w:tab/>
      </w:r>
      <w:r>
        <w:rPr>
          <w:rFonts w:ascii="Times New Roman" w:hAnsi="Times New Roman" w:eastAsia="宋体"/>
          <w:b w:val="0"/>
          <w:color w:val="000000" w:themeColor="text1"/>
          <w:sz w:val="21"/>
          <w14:textFill>
            <w14:solidFill>
              <w14:schemeClr w14:val="tx1"/>
            </w14:solidFill>
          </w14:textFill>
        </w:rPr>
        <w:t>12</w:t>
      </w:r>
    </w:p>
    <w:p w14:paraId="2A459772">
      <w:pPr>
        <w:pageBreakBefore w:val="0"/>
        <w:tabs>
          <w:tab w:val="right" w:leader="dot" w:pos="8617"/>
        </w:tabs>
        <w:spacing w:before="0" w:after="0" w:line="32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 xml:space="preserve">    4.3 拥塞感知与拆线重布策略</w:t>
      </w:r>
      <w:r>
        <w:rPr>
          <w:rFonts w:ascii="Times New Roman" w:hAnsi="Times New Roman" w:eastAsia="宋体"/>
          <w:b w:val="0"/>
          <w:color w:val="000000" w:themeColor="text1"/>
          <w:sz w:val="21"/>
          <w14:textFill>
            <w14:solidFill>
              <w14:schemeClr w14:val="tx1"/>
            </w14:solidFill>
          </w14:textFill>
        </w:rPr>
        <w:tab/>
      </w:r>
      <w:r>
        <w:rPr>
          <w:rFonts w:ascii="Times New Roman" w:hAnsi="Times New Roman" w:eastAsia="宋体"/>
          <w:b w:val="0"/>
          <w:color w:val="000000" w:themeColor="text1"/>
          <w:sz w:val="21"/>
          <w14:textFill>
            <w14:solidFill>
              <w14:schemeClr w14:val="tx1"/>
            </w14:solidFill>
          </w14:textFill>
        </w:rPr>
        <w:t>12</w:t>
      </w:r>
    </w:p>
    <w:p w14:paraId="651DD177">
      <w:pPr>
        <w:pageBreakBefore w:val="0"/>
        <w:tabs>
          <w:tab w:val="right" w:leader="dot" w:pos="8617"/>
        </w:tabs>
        <w:spacing w:before="0" w:after="0" w:line="32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 xml:space="preserve">    4.4 分层布线与重布线改进流程</w:t>
      </w:r>
      <w:r>
        <w:rPr>
          <w:rFonts w:ascii="Times New Roman" w:hAnsi="Times New Roman" w:eastAsia="宋体"/>
          <w:b w:val="0"/>
          <w:color w:val="000000" w:themeColor="text1"/>
          <w:sz w:val="21"/>
          <w14:textFill>
            <w14:solidFill>
              <w14:schemeClr w14:val="tx1"/>
            </w14:solidFill>
          </w14:textFill>
        </w:rPr>
        <w:tab/>
      </w:r>
      <w:r>
        <w:rPr>
          <w:rFonts w:ascii="Times New Roman" w:hAnsi="Times New Roman" w:eastAsia="宋体"/>
          <w:b w:val="0"/>
          <w:color w:val="000000" w:themeColor="text1"/>
          <w:sz w:val="21"/>
          <w14:textFill>
            <w14:solidFill>
              <w14:schemeClr w14:val="tx1"/>
            </w14:solidFill>
          </w14:textFill>
        </w:rPr>
        <w:t>13</w:t>
      </w:r>
    </w:p>
    <w:p w14:paraId="0962E936">
      <w:pPr>
        <w:pageBreakBefore w:val="0"/>
        <w:tabs>
          <w:tab w:val="right" w:leader="dot" w:pos="8617"/>
        </w:tabs>
        <w:spacing w:before="0" w:after="0" w:line="32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5 系统实现</w:t>
      </w:r>
      <w:r>
        <w:rPr>
          <w:rFonts w:ascii="Times New Roman" w:hAnsi="Times New Roman" w:eastAsia="宋体"/>
          <w:b w:val="0"/>
          <w:color w:val="000000" w:themeColor="text1"/>
          <w:sz w:val="21"/>
          <w14:textFill>
            <w14:solidFill>
              <w14:schemeClr w14:val="tx1"/>
            </w14:solidFill>
          </w14:textFill>
        </w:rPr>
        <w:tab/>
      </w:r>
      <w:r>
        <w:rPr>
          <w:rFonts w:ascii="Times New Roman" w:hAnsi="Times New Roman" w:eastAsia="宋体"/>
          <w:b w:val="0"/>
          <w:color w:val="000000" w:themeColor="text1"/>
          <w:sz w:val="21"/>
          <w14:textFill>
            <w14:solidFill>
              <w14:schemeClr w14:val="tx1"/>
            </w14:solidFill>
          </w14:textFill>
        </w:rPr>
        <w:t>14</w:t>
      </w:r>
    </w:p>
    <w:p w14:paraId="2438995C">
      <w:pPr>
        <w:pageBreakBefore w:val="0"/>
        <w:tabs>
          <w:tab w:val="right" w:leader="dot" w:pos="8617"/>
        </w:tabs>
        <w:spacing w:before="0" w:after="0" w:line="32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 xml:space="preserve">    5.1 工程结构与运行方式</w:t>
      </w:r>
      <w:r>
        <w:rPr>
          <w:rFonts w:ascii="Times New Roman" w:hAnsi="Times New Roman" w:eastAsia="宋体"/>
          <w:b w:val="0"/>
          <w:color w:val="000000" w:themeColor="text1"/>
          <w:sz w:val="21"/>
          <w14:textFill>
            <w14:solidFill>
              <w14:schemeClr w14:val="tx1"/>
            </w14:solidFill>
          </w14:textFill>
        </w:rPr>
        <w:tab/>
      </w:r>
      <w:r>
        <w:rPr>
          <w:rFonts w:ascii="Times New Roman" w:hAnsi="Times New Roman" w:eastAsia="宋体"/>
          <w:b w:val="0"/>
          <w:color w:val="000000" w:themeColor="text1"/>
          <w:sz w:val="21"/>
          <w14:textFill>
            <w14:solidFill>
              <w14:schemeClr w14:val="tx1"/>
            </w14:solidFill>
          </w14:textFill>
        </w:rPr>
        <w:t>14</w:t>
      </w:r>
    </w:p>
    <w:p w14:paraId="3C1933F0">
      <w:pPr>
        <w:pageBreakBefore w:val="0"/>
        <w:tabs>
          <w:tab w:val="right" w:leader="dot" w:pos="8617"/>
        </w:tabs>
        <w:spacing w:before="0" w:after="0" w:line="32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 xml:space="preserve">    5.2 输出文件说明</w:t>
      </w:r>
      <w:r>
        <w:rPr>
          <w:rFonts w:ascii="Times New Roman" w:hAnsi="Times New Roman" w:eastAsia="宋体"/>
          <w:b w:val="0"/>
          <w:color w:val="000000" w:themeColor="text1"/>
          <w:sz w:val="21"/>
          <w14:textFill>
            <w14:solidFill>
              <w14:schemeClr w14:val="tx1"/>
            </w14:solidFill>
          </w14:textFill>
        </w:rPr>
        <w:tab/>
      </w:r>
      <w:r>
        <w:rPr>
          <w:rFonts w:ascii="Times New Roman" w:hAnsi="Times New Roman" w:eastAsia="宋体"/>
          <w:b w:val="0"/>
          <w:color w:val="000000" w:themeColor="text1"/>
          <w:sz w:val="21"/>
          <w14:textFill>
            <w14:solidFill>
              <w14:schemeClr w14:val="tx1"/>
            </w14:solidFill>
          </w14:textFill>
        </w:rPr>
        <w:t>14</w:t>
      </w:r>
    </w:p>
    <w:p w14:paraId="75AAC6E2">
      <w:pPr>
        <w:pageBreakBefore w:val="0"/>
        <w:tabs>
          <w:tab w:val="right" w:leader="dot" w:pos="8617"/>
        </w:tabs>
        <w:spacing w:before="0" w:after="0" w:line="32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 xml:space="preserve">    5.3 关键函数与数据流</w:t>
      </w:r>
      <w:r>
        <w:rPr>
          <w:rFonts w:ascii="Times New Roman" w:hAnsi="Times New Roman" w:eastAsia="宋体"/>
          <w:b w:val="0"/>
          <w:color w:val="000000" w:themeColor="text1"/>
          <w:sz w:val="21"/>
          <w14:textFill>
            <w14:solidFill>
              <w14:schemeClr w14:val="tx1"/>
            </w14:solidFill>
          </w14:textFill>
        </w:rPr>
        <w:tab/>
      </w:r>
      <w:r>
        <w:rPr>
          <w:rFonts w:ascii="Times New Roman" w:hAnsi="Times New Roman" w:eastAsia="宋体"/>
          <w:b w:val="0"/>
          <w:color w:val="000000" w:themeColor="text1"/>
          <w:sz w:val="21"/>
          <w14:textFill>
            <w14:solidFill>
              <w14:schemeClr w14:val="tx1"/>
            </w14:solidFill>
          </w14:textFill>
        </w:rPr>
        <w:t>14</w:t>
      </w:r>
    </w:p>
    <w:p w14:paraId="4DAC9A9B">
      <w:pPr>
        <w:pageBreakBefore w:val="0"/>
        <w:tabs>
          <w:tab w:val="right" w:leader="dot" w:pos="8617"/>
        </w:tabs>
        <w:spacing w:before="0" w:after="0" w:line="32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 xml:space="preserve">    5.4 文献支撑下的代码模块对应关系</w:t>
      </w:r>
      <w:r>
        <w:rPr>
          <w:rFonts w:ascii="Times New Roman" w:hAnsi="Times New Roman" w:eastAsia="宋体"/>
          <w:b w:val="0"/>
          <w:color w:val="000000" w:themeColor="text1"/>
          <w:sz w:val="21"/>
          <w14:textFill>
            <w14:solidFill>
              <w14:schemeClr w14:val="tx1"/>
            </w14:solidFill>
          </w14:textFill>
        </w:rPr>
        <w:tab/>
      </w:r>
      <w:r>
        <w:rPr>
          <w:rFonts w:ascii="Times New Roman" w:hAnsi="Times New Roman" w:eastAsia="宋体"/>
          <w:b w:val="0"/>
          <w:color w:val="000000" w:themeColor="text1"/>
          <w:sz w:val="21"/>
          <w14:textFill>
            <w14:solidFill>
              <w14:schemeClr w14:val="tx1"/>
            </w14:solidFill>
          </w14:textFill>
        </w:rPr>
        <w:t>15</w:t>
      </w:r>
    </w:p>
    <w:p w14:paraId="0B7DED81">
      <w:pPr>
        <w:pageBreakBefore w:val="0"/>
        <w:tabs>
          <w:tab w:val="right" w:leader="dot" w:pos="8617"/>
        </w:tabs>
        <w:spacing w:before="0" w:after="0" w:line="32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6 实验结果与分析</w:t>
      </w:r>
      <w:r>
        <w:rPr>
          <w:rFonts w:ascii="Times New Roman" w:hAnsi="Times New Roman" w:eastAsia="宋体"/>
          <w:b w:val="0"/>
          <w:color w:val="000000" w:themeColor="text1"/>
          <w:sz w:val="21"/>
          <w14:textFill>
            <w14:solidFill>
              <w14:schemeClr w14:val="tx1"/>
            </w14:solidFill>
          </w14:textFill>
        </w:rPr>
        <w:tab/>
      </w:r>
      <w:r>
        <w:rPr>
          <w:rFonts w:ascii="Times New Roman" w:hAnsi="Times New Roman" w:eastAsia="宋体"/>
          <w:b w:val="0"/>
          <w:color w:val="000000" w:themeColor="text1"/>
          <w:sz w:val="21"/>
          <w14:textFill>
            <w14:solidFill>
              <w14:schemeClr w14:val="tx1"/>
            </w14:solidFill>
          </w14:textFill>
        </w:rPr>
        <w:t>16</w:t>
      </w:r>
    </w:p>
    <w:p w14:paraId="3D2BDD5A">
      <w:pPr>
        <w:pageBreakBefore w:val="0"/>
        <w:tabs>
          <w:tab w:val="right" w:leader="dot" w:pos="8617"/>
        </w:tabs>
        <w:spacing w:before="0" w:after="0" w:line="32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 xml:space="preserve">    6.1 实验设置</w:t>
      </w:r>
      <w:r>
        <w:rPr>
          <w:rFonts w:ascii="Times New Roman" w:hAnsi="Times New Roman" w:eastAsia="宋体"/>
          <w:b w:val="0"/>
          <w:color w:val="000000" w:themeColor="text1"/>
          <w:sz w:val="21"/>
          <w14:textFill>
            <w14:solidFill>
              <w14:schemeClr w14:val="tx1"/>
            </w14:solidFill>
          </w14:textFill>
        </w:rPr>
        <w:tab/>
      </w:r>
      <w:r>
        <w:rPr>
          <w:rFonts w:ascii="Times New Roman" w:hAnsi="Times New Roman" w:eastAsia="宋体"/>
          <w:b w:val="0"/>
          <w:color w:val="000000" w:themeColor="text1"/>
          <w:sz w:val="21"/>
          <w14:textFill>
            <w14:solidFill>
              <w14:schemeClr w14:val="tx1"/>
            </w14:solidFill>
          </w14:textFill>
        </w:rPr>
        <w:t>16</w:t>
      </w:r>
    </w:p>
    <w:p w14:paraId="5F07FAAD">
      <w:pPr>
        <w:pageBreakBefore w:val="0"/>
        <w:tabs>
          <w:tab w:val="right" w:leader="dot" w:pos="8617"/>
        </w:tabs>
        <w:spacing w:before="0" w:after="0" w:line="32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 xml:space="preserve">    6.2 指标结果</w:t>
      </w:r>
      <w:r>
        <w:rPr>
          <w:rFonts w:ascii="Times New Roman" w:hAnsi="Times New Roman" w:eastAsia="宋体"/>
          <w:b w:val="0"/>
          <w:color w:val="000000" w:themeColor="text1"/>
          <w:sz w:val="21"/>
          <w14:textFill>
            <w14:solidFill>
              <w14:schemeClr w14:val="tx1"/>
            </w14:solidFill>
          </w14:textFill>
        </w:rPr>
        <w:tab/>
      </w:r>
      <w:r>
        <w:rPr>
          <w:rFonts w:ascii="Times New Roman" w:hAnsi="Times New Roman" w:eastAsia="宋体"/>
          <w:b w:val="0"/>
          <w:color w:val="000000" w:themeColor="text1"/>
          <w:sz w:val="21"/>
          <w14:textFill>
            <w14:solidFill>
              <w14:schemeClr w14:val="tx1"/>
            </w14:solidFill>
          </w14:textFill>
        </w:rPr>
        <w:t>16</w:t>
      </w:r>
    </w:p>
    <w:p w14:paraId="2C22927E">
      <w:pPr>
        <w:pageBreakBefore w:val="0"/>
        <w:tabs>
          <w:tab w:val="right" w:leader="dot" w:pos="8617"/>
        </w:tabs>
        <w:spacing w:before="0" w:after="0" w:line="32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 xml:space="preserve">    6.3 结果分析</w:t>
      </w:r>
      <w:r>
        <w:rPr>
          <w:rFonts w:ascii="Times New Roman" w:hAnsi="Times New Roman" w:eastAsia="宋体"/>
          <w:b w:val="0"/>
          <w:color w:val="000000" w:themeColor="text1"/>
          <w:sz w:val="21"/>
          <w14:textFill>
            <w14:solidFill>
              <w14:schemeClr w14:val="tx1"/>
            </w14:solidFill>
          </w14:textFill>
        </w:rPr>
        <w:tab/>
      </w:r>
      <w:r>
        <w:rPr>
          <w:rFonts w:ascii="Times New Roman" w:hAnsi="Times New Roman" w:eastAsia="宋体"/>
          <w:b w:val="0"/>
          <w:color w:val="000000" w:themeColor="text1"/>
          <w:sz w:val="21"/>
          <w14:textFill>
            <w14:solidFill>
              <w14:schemeClr w14:val="tx1"/>
            </w14:solidFill>
          </w14:textFill>
        </w:rPr>
        <w:t>17</w:t>
      </w:r>
    </w:p>
    <w:p w14:paraId="622FAA2D">
      <w:pPr>
        <w:pageBreakBefore w:val="0"/>
        <w:tabs>
          <w:tab w:val="right" w:leader="dot" w:pos="8617"/>
        </w:tabs>
        <w:spacing w:before="0" w:after="0" w:line="32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 xml:space="preserve">    6.4 消融实验与对比有效性分析</w:t>
      </w:r>
      <w:r>
        <w:rPr>
          <w:rFonts w:ascii="Times New Roman" w:hAnsi="Times New Roman" w:eastAsia="宋体"/>
          <w:b w:val="0"/>
          <w:color w:val="000000" w:themeColor="text1"/>
          <w:sz w:val="21"/>
          <w14:textFill>
            <w14:solidFill>
              <w14:schemeClr w14:val="tx1"/>
            </w14:solidFill>
          </w14:textFill>
        </w:rPr>
        <w:tab/>
      </w:r>
      <w:r>
        <w:rPr>
          <w:rFonts w:ascii="Times New Roman" w:hAnsi="Times New Roman" w:eastAsia="宋体"/>
          <w:b w:val="0"/>
          <w:color w:val="000000" w:themeColor="text1"/>
          <w:sz w:val="21"/>
          <w14:textFill>
            <w14:solidFill>
              <w14:schemeClr w14:val="tx1"/>
            </w14:solidFill>
          </w14:textFill>
        </w:rPr>
        <w:t>18</w:t>
      </w:r>
    </w:p>
    <w:p w14:paraId="68DB9CA6">
      <w:pPr>
        <w:pageBreakBefore w:val="0"/>
        <w:tabs>
          <w:tab w:val="right" w:leader="dot" w:pos="8617"/>
        </w:tabs>
        <w:spacing w:before="0" w:after="0" w:line="32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 xml:space="preserve">    6.5 参数与工程适用性讨论</w:t>
      </w:r>
      <w:r>
        <w:rPr>
          <w:rFonts w:ascii="Times New Roman" w:hAnsi="Times New Roman" w:eastAsia="宋体"/>
          <w:b w:val="0"/>
          <w:color w:val="000000" w:themeColor="text1"/>
          <w:sz w:val="21"/>
          <w14:textFill>
            <w14:solidFill>
              <w14:schemeClr w14:val="tx1"/>
            </w14:solidFill>
          </w14:textFill>
        </w:rPr>
        <w:tab/>
      </w:r>
      <w:r>
        <w:rPr>
          <w:rFonts w:ascii="Times New Roman" w:hAnsi="Times New Roman" w:eastAsia="宋体"/>
          <w:b w:val="0"/>
          <w:color w:val="000000" w:themeColor="text1"/>
          <w:sz w:val="21"/>
          <w14:textFill>
            <w14:solidFill>
              <w14:schemeClr w14:val="tx1"/>
            </w14:solidFill>
          </w14:textFill>
        </w:rPr>
        <w:t>19</w:t>
      </w:r>
    </w:p>
    <w:p w14:paraId="47483621">
      <w:pPr>
        <w:pageBreakBefore w:val="0"/>
        <w:tabs>
          <w:tab w:val="right" w:leader="dot" w:pos="8617"/>
        </w:tabs>
        <w:spacing w:before="0" w:after="0" w:line="32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7 总结与展望</w:t>
      </w:r>
      <w:r>
        <w:rPr>
          <w:rFonts w:ascii="Times New Roman" w:hAnsi="Times New Roman" w:eastAsia="宋体"/>
          <w:b w:val="0"/>
          <w:color w:val="000000" w:themeColor="text1"/>
          <w:sz w:val="21"/>
          <w14:textFill>
            <w14:solidFill>
              <w14:schemeClr w14:val="tx1"/>
            </w14:solidFill>
          </w14:textFill>
        </w:rPr>
        <w:tab/>
      </w:r>
      <w:r>
        <w:rPr>
          <w:rFonts w:ascii="Times New Roman" w:hAnsi="Times New Roman" w:eastAsia="宋体"/>
          <w:b w:val="0"/>
          <w:color w:val="000000" w:themeColor="text1"/>
          <w:sz w:val="21"/>
          <w14:textFill>
            <w14:solidFill>
              <w14:schemeClr w14:val="tx1"/>
            </w14:solidFill>
          </w14:textFill>
        </w:rPr>
        <w:t>20</w:t>
      </w:r>
    </w:p>
    <w:p w14:paraId="53D73006">
      <w:pPr>
        <w:pageBreakBefore w:val="0"/>
        <w:tabs>
          <w:tab w:val="right" w:leader="dot" w:pos="8617"/>
        </w:tabs>
        <w:spacing w:before="0" w:after="0" w:line="32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 xml:space="preserve">    7.1 工作总结</w:t>
      </w:r>
      <w:r>
        <w:rPr>
          <w:rFonts w:ascii="Times New Roman" w:hAnsi="Times New Roman" w:eastAsia="宋体"/>
          <w:b w:val="0"/>
          <w:color w:val="000000" w:themeColor="text1"/>
          <w:sz w:val="21"/>
          <w14:textFill>
            <w14:solidFill>
              <w14:schemeClr w14:val="tx1"/>
            </w14:solidFill>
          </w14:textFill>
        </w:rPr>
        <w:tab/>
      </w:r>
      <w:r>
        <w:rPr>
          <w:rFonts w:ascii="Times New Roman" w:hAnsi="Times New Roman" w:eastAsia="宋体"/>
          <w:b w:val="0"/>
          <w:color w:val="000000" w:themeColor="text1"/>
          <w:sz w:val="21"/>
          <w14:textFill>
            <w14:solidFill>
              <w14:schemeClr w14:val="tx1"/>
            </w14:solidFill>
          </w14:textFill>
        </w:rPr>
        <w:t>20</w:t>
      </w:r>
    </w:p>
    <w:p w14:paraId="3083ADEB">
      <w:pPr>
        <w:pageBreakBefore w:val="0"/>
        <w:tabs>
          <w:tab w:val="right" w:leader="dot" w:pos="8617"/>
        </w:tabs>
        <w:spacing w:before="0" w:after="0" w:line="32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 xml:space="preserve">    7.2 不足与展望</w:t>
      </w:r>
      <w:r>
        <w:rPr>
          <w:rFonts w:ascii="Times New Roman" w:hAnsi="Times New Roman" w:eastAsia="宋体"/>
          <w:b w:val="0"/>
          <w:color w:val="000000" w:themeColor="text1"/>
          <w:sz w:val="21"/>
          <w14:textFill>
            <w14:solidFill>
              <w14:schemeClr w14:val="tx1"/>
            </w14:solidFill>
          </w14:textFill>
        </w:rPr>
        <w:tab/>
      </w:r>
      <w:r>
        <w:rPr>
          <w:rFonts w:ascii="Times New Roman" w:hAnsi="Times New Roman" w:eastAsia="宋体"/>
          <w:b w:val="0"/>
          <w:color w:val="000000" w:themeColor="text1"/>
          <w:sz w:val="21"/>
          <w14:textFill>
            <w14:solidFill>
              <w14:schemeClr w14:val="tx1"/>
            </w14:solidFill>
          </w14:textFill>
        </w:rPr>
        <w:t>20</w:t>
      </w:r>
    </w:p>
    <w:p w14:paraId="13A97185">
      <w:pPr>
        <w:pageBreakBefore w:val="0"/>
        <w:tabs>
          <w:tab w:val="right" w:leader="dot" w:pos="8617"/>
        </w:tabs>
        <w:spacing w:before="0" w:after="0" w:line="32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参考文献</w:t>
      </w:r>
      <w:r>
        <w:rPr>
          <w:rFonts w:ascii="Times New Roman" w:hAnsi="Times New Roman" w:eastAsia="宋体"/>
          <w:b w:val="0"/>
          <w:color w:val="000000" w:themeColor="text1"/>
          <w:sz w:val="21"/>
          <w14:textFill>
            <w14:solidFill>
              <w14:schemeClr w14:val="tx1"/>
            </w14:solidFill>
          </w14:textFill>
        </w:rPr>
        <w:tab/>
      </w:r>
      <w:r>
        <w:rPr>
          <w:rFonts w:ascii="Times New Roman" w:hAnsi="Times New Roman" w:eastAsia="宋体"/>
          <w:b w:val="0"/>
          <w:color w:val="000000" w:themeColor="text1"/>
          <w:sz w:val="21"/>
          <w14:textFill>
            <w14:solidFill>
              <w14:schemeClr w14:val="tx1"/>
            </w14:solidFill>
          </w14:textFill>
        </w:rPr>
        <w:t>22</w:t>
      </w:r>
    </w:p>
    <w:p w14:paraId="1C0CB1E4">
      <w:pPr>
        <w:pageBreakBefore w:val="0"/>
        <w:tabs>
          <w:tab w:val="right" w:leader="dot" w:pos="8617"/>
        </w:tabs>
        <w:spacing w:before="0" w:after="0" w:line="320" w:lineRule="exact"/>
        <w:jc w:val="center"/>
        <w:rPr>
          <w:color w:val="000000" w:themeColor="text1"/>
          <w14:textFill>
            <w14:solidFill>
              <w14:schemeClr w14:val="tx1"/>
            </w14:solidFill>
          </w14:textFill>
        </w:rPr>
        <w:sectPr>
          <w:footerReference r:id="rId5" w:type="default"/>
          <w:pgSz w:w="11906" w:h="16838"/>
          <w:pgMar w:top="1417" w:right="1134" w:bottom="1134" w:left="1417" w:header="1474" w:footer="1361" w:gutter="0"/>
          <w:pgNumType w:fmt="upperRoman" w:start="1"/>
          <w:cols w:space="720" w:num="1"/>
          <w:docGrid w:linePitch="360" w:charSpace="0"/>
        </w:sectPr>
      </w:pPr>
      <w:r>
        <w:rPr>
          <w:rFonts w:ascii="Times New Roman" w:hAnsi="Times New Roman" w:eastAsia="宋体"/>
          <w:b w:val="0"/>
          <w:color w:val="000000" w:themeColor="text1"/>
          <w:sz w:val="21"/>
          <w14:textFill>
            <w14:solidFill>
              <w14:schemeClr w14:val="tx1"/>
            </w14:solidFill>
          </w14:textFill>
        </w:rPr>
        <w:t>致谢</w:t>
      </w:r>
      <w:r>
        <w:rPr>
          <w:rFonts w:ascii="Times New Roman" w:hAnsi="Times New Roman" w:eastAsia="宋体"/>
          <w:b w:val="0"/>
          <w:color w:val="000000" w:themeColor="text1"/>
          <w:sz w:val="21"/>
          <w14:textFill>
            <w14:solidFill>
              <w14:schemeClr w14:val="tx1"/>
            </w14:solidFill>
          </w14:textFill>
        </w:rPr>
        <w:tab/>
      </w:r>
      <w:r>
        <w:rPr>
          <w:rFonts w:ascii="Times New Roman" w:hAnsi="Times New Roman" w:eastAsia="宋体"/>
          <w:b w:val="0"/>
          <w:color w:val="000000" w:themeColor="text1"/>
          <w:sz w:val="21"/>
          <w14:textFill>
            <w14:solidFill>
              <w14:schemeClr w14:val="tx1"/>
            </w14:solidFill>
          </w14:textFill>
        </w:rPr>
        <w:t>24</w:t>
      </w:r>
    </w:p>
    <w:p w14:paraId="091A3601">
      <w:pPr>
        <w:pStyle w:val="3"/>
        <w:spacing w:before="240" w:after="12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1 绪论</w:t>
      </w:r>
    </w:p>
    <w:p w14:paraId="709CF85C">
      <w:pPr>
        <w:pStyle w:val="4"/>
        <w:spacing w:before="16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1.1 研究背景</w:t>
      </w:r>
    </w:p>
    <w:p w14:paraId="509C32A6">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印制电路板是电子系统的物理承载平台，承担器件安装、网络互连、信号完整性保障和热管理等多重功能。随着服务器、通信设备、工业控制和消费电子产品向高速化、小型化和高可靠性方向发展，PCB边缘连接器区域的金手指越来越常见。金手指通常采用硬金镀层，位于板边并与插槽、测试夹具或转接板接触，其导通质量会直接影响整机连接可靠性。由于金手指区域的接触端子间距小、数量多、信号速率高，若生产测试阶段不能高效覆盖全部网络，缺陷可能在后续装配或现场运行中暴露，造成返工成本和质量风险。</w:t>
      </w:r>
    </w:p>
    <w:p w14:paraId="59B18A9D">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测试尾板可以理解为围绕被测金手指引出的辅助测试结构，其核心任务是在有限空间内放置可接触测试点，并完成金手指端子到测试点之间的物理连接。相比普通PCB测试点设计，金手指测试尾板具有三个特点：第一，输入端子呈线性密集分布，布线起点高度集中；第二，尾板区域通常受外形、夹具和工艺边界限制，无法简单扩大面积；第三，测试点既要满足探针接触需求，又要满足线宽线距、障碍避让和层间切换等制造规则。因此，测试尾板布点布线不是单一的几何排布问题，而是布点、布线和规则合法性之间相互影响的组合优化问题。</w:t>
      </w:r>
    </w:p>
    <w:p w14:paraId="2D0A5A14">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目前工程实践中，测试尾板设计仍大量依赖人工经验。工程师通常先根据金手指数量估算尾板尺寸，再按网格或行列方式放置测试点，随后在EDA工具中尝试布线和局部调整。该流程直观但迭代成本高，一旦局部区域无法布通，就需要重新调整测试点位置甚至修改尾板尺寸。对于低密度板卡，人工方案尚可接受；对于高密度或面积受限场景，经验规则容易造成空间利用率不足、线长偏大和局部拥塞。引入自动化布点布线算法，有助于在设计早期快速评估可行性，减少反复试错，并为国产EDA工具中测试可制造性设计模块提供可复用思路。</w:t>
      </w:r>
    </w:p>
    <w:p w14:paraId="27081C8F">
      <w:pPr>
        <w:pStyle w:val="4"/>
        <w:spacing w:before="16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1.2 国内外研究现状</w:t>
      </w:r>
    </w:p>
    <w:p w14:paraId="3A68379F">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可测性设计领域长期关注如何在电路设计阶段提高缺陷可观测性和可控制性。Khalil等对电路与系统层面的DFT技术进行了综述，强调在设计阶段插入测试资源能够降低后续测试难度[1]；Shi等提出DeepTPI，将深度强化学习、图神经网络和DQN用于测试点插入位置选择，并把测试覆盖率提升作为奖励目标[2]；Yang等提出利用功能触发器驱动控制测试点，以减少额外测试硬件开销[3]。上述研究为“测试点插入”提供了理论基础，但其对象主要是芯片级逻辑网络，测试点位置对应逻辑节点，而本文面向PCB金手指尾板，测试点位置对应二维几何空间中的可接触焊盘，因此需要把TPI思想转换为“候选点选择+几何合法性+布线可达性”的组合优化问题。</w:t>
      </w:r>
    </w:p>
    <w:p w14:paraId="2DFD2401">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PCB自动布线研究通常可从多个维度划分：按流程可分为全局布线和细节布线，按连接目标可分为两端布线和多端布线，按场景可分为逃逸布线和通道布线，按建模方式可分为网格布线、无网格布线、基于图布线和基于图形布线。Lee迷宫算法、Hightower逃逸线算法、Soukup算法和Hadlock算法代表了传统路径搜索方法</w:t>
      </w:r>
      <w:r>
        <w:rPr>
          <w:rFonts w:ascii="Times New Roman" w:hAnsi="Times New Roman" w:eastAsia="宋体"/>
          <w:color w:val="000000" w:themeColor="text1"/>
          <w:sz w:val="24"/>
          <w:vertAlign w:val="superscript"/>
          <w14:textFill>
            <w14:solidFill>
              <w14:schemeClr w14:val="tx1"/>
            </w14:solidFill>
          </w14:textFill>
        </w:rPr>
        <w:t>[8-11]</w:t>
      </w:r>
      <w:r>
        <w:rPr>
          <w:rFonts w:ascii="Times New Roman" w:hAnsi="Times New Roman" w:eastAsia="宋体"/>
          <w:color w:val="000000" w:themeColor="text1"/>
          <w:sz w:val="24"/>
          <w14:textFill>
            <w14:solidFill>
              <w14:schemeClr w14:val="tx1"/>
            </w14:solidFill>
          </w14:textFill>
        </w:rPr>
        <w:t>，具有规则清晰、易实现的特点，但在高密度场景下面临搜索空间大、计算耗时高和线序敏感等问题。Yan和Wong指出，逃逸布线、等长布线和网络流建模是PCB布线研究中的重要方向</w:t>
      </w:r>
      <w:r>
        <w:rPr>
          <w:rFonts w:ascii="Times New Roman" w:hAnsi="Times New Roman" w:eastAsia="宋体"/>
          <w:color w:val="000000" w:themeColor="text1"/>
          <w:sz w:val="24"/>
          <w:vertAlign w:val="superscript"/>
          <w14:textFill>
            <w14:solidFill>
              <w14:schemeClr w14:val="tx1"/>
            </w14:solidFill>
          </w14:textFill>
        </w:rPr>
        <w:t>[4]</w:t>
      </w:r>
      <w:r>
        <w:rPr>
          <w:rFonts w:ascii="Times New Roman" w:hAnsi="Times New Roman" w:eastAsia="宋体"/>
          <w:color w:val="000000" w:themeColor="text1"/>
          <w:sz w:val="24"/>
          <w14:textFill>
            <w14:solidFill>
              <w14:schemeClr w14:val="tx1"/>
            </w14:solidFill>
          </w14:textFill>
        </w:rPr>
        <w:t>；Chen等基于线性规划提出合法化布线算法，为复杂设计规则下的约束处理提供了参考</w:t>
      </w:r>
      <w:r>
        <w:rPr>
          <w:rFonts w:ascii="Times New Roman" w:hAnsi="Times New Roman" w:eastAsia="宋体"/>
          <w:color w:val="000000" w:themeColor="text1"/>
          <w:sz w:val="24"/>
          <w:vertAlign w:val="superscript"/>
          <w14:textFill>
            <w14:solidFill>
              <w14:schemeClr w14:val="tx1"/>
            </w14:solidFill>
          </w14:textFill>
        </w:rPr>
        <w:t>[5]</w:t>
      </w:r>
      <w:r>
        <w:rPr>
          <w:rFonts w:ascii="Times New Roman" w:hAnsi="Times New Roman" w:eastAsia="宋体"/>
          <w:color w:val="000000" w:themeColor="text1"/>
          <w:sz w:val="24"/>
          <w14:textFill>
            <w14:solidFill>
              <w14:schemeClr w14:val="tx1"/>
            </w14:solidFill>
          </w14:textFill>
        </w:rPr>
        <w:t>。在学习型EDA方面，NS-Place面向PCB布局引入神经网络分离思想</w:t>
      </w:r>
      <w:r>
        <w:rPr>
          <w:rFonts w:ascii="Times New Roman" w:hAnsi="Times New Roman" w:eastAsia="宋体"/>
          <w:color w:val="000000" w:themeColor="text1"/>
          <w:sz w:val="24"/>
          <w:vertAlign w:val="superscript"/>
          <w14:textFill>
            <w14:solidFill>
              <w14:schemeClr w14:val="tx1"/>
            </w14:solidFill>
          </w14:textFill>
        </w:rPr>
        <w:t>[6]</w:t>
      </w:r>
      <w:r>
        <w:rPr>
          <w:rFonts w:ascii="Times New Roman" w:hAnsi="Times New Roman" w:eastAsia="宋体"/>
          <w:color w:val="000000" w:themeColor="text1"/>
          <w:sz w:val="24"/>
          <w14:textFill>
            <w14:solidFill>
              <w14:schemeClr w14:val="tx1"/>
            </w14:solidFill>
          </w14:textFill>
        </w:rPr>
        <w:t>，DREAMPlace展示了深度学习工具链和GPU加速在大规模布局优化中的可行性</w:t>
      </w:r>
      <w:r>
        <w:rPr>
          <w:rFonts w:ascii="Times New Roman" w:hAnsi="Times New Roman" w:eastAsia="宋体"/>
          <w:color w:val="000000" w:themeColor="text1"/>
          <w:sz w:val="24"/>
          <w:vertAlign w:val="superscript"/>
          <w14:textFill>
            <w14:solidFill>
              <w14:schemeClr w14:val="tx1"/>
            </w14:solidFill>
          </w14:textFill>
        </w:rPr>
        <w:t>[12]</w:t>
      </w:r>
      <w:r>
        <w:rPr>
          <w:rFonts w:ascii="Times New Roman" w:hAnsi="Times New Roman" w:eastAsia="宋体"/>
          <w:color w:val="000000" w:themeColor="text1"/>
          <w:sz w:val="24"/>
          <w14:textFill>
            <w14:solidFill>
              <w14:schemeClr w14:val="tx1"/>
            </w14:solidFill>
          </w14:textFill>
        </w:rPr>
        <w:t>，Martins对机器学习和深度学习在模拟集成电路布局综合中的应用进行了综述</w:t>
      </w:r>
      <w:r>
        <w:rPr>
          <w:rFonts w:ascii="Times New Roman" w:hAnsi="Times New Roman" w:eastAsia="宋体"/>
          <w:color w:val="000000" w:themeColor="text1"/>
          <w:sz w:val="24"/>
          <w:vertAlign w:val="superscript"/>
          <w14:textFill>
            <w14:solidFill>
              <w14:schemeClr w14:val="tx1"/>
            </w14:solidFill>
          </w14:textFill>
        </w:rPr>
        <w:t>[7]</w:t>
      </w:r>
      <w:r>
        <w:rPr>
          <w:rFonts w:ascii="Times New Roman" w:hAnsi="Times New Roman" w:eastAsia="宋体"/>
          <w:color w:val="000000" w:themeColor="text1"/>
          <w:sz w:val="24"/>
          <w14:textFill>
            <w14:solidFill>
              <w14:schemeClr w14:val="tx1"/>
            </w14:solidFill>
          </w14:textFill>
        </w:rPr>
        <w:t>。这些研究说明，学习型或神经网络辅助方法正在从芯片布局逐步拓展到PCB/EDA场景，但在本科毕业设计阶段，仍需结合数据规模和实现条件选择可解释的启发式算法。</w:t>
      </w:r>
    </w:p>
    <w:p w14:paraId="4632035A">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结合本文选题，相关国内PCB自动布线研究文献对金手指测试尾板具有直接借鉴价值。胡木森提出基于网络流建模的高性能自动布线方法，将可布线区域抽象为带容量的图结构，并通过预布线动态更新拥塞信息[17]；刘自铭在多层PCB布线中引入蚁群信息素、启发系数、多轮次布线和基于阻塞度的拆线重布策略，关注布通率、过孔、拐点和拥塞均匀性[18]；郑杰提出基于PCB布线领域模型的自动布线系统，把连续人工布线信息转化为离散语义序列，强调学习人工布线范式[19]；白胜泷将Transformer模型与改进A-star算法结合，用学习策略提升逃逸布线的布通率和稳定性[20]；李晓欣的PCB自动布局布线器研究则为PSO、混合优化和绕障布线的工程实现提供了参考[15]。</w:t>
      </w:r>
    </w:p>
    <w:p w14:paraId="4FA5E5C6">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综上，现有PCB自动布线研究已经形成了较完整的理论体系，但多数方法以通用PCB、芯片逃逸或多层板走线为对象，较少单独讨论测试尾板中“端子线性密集、测试点需可接触、尾板面积受夹具限制、布点和布线高度耦合”的问题。因此，本文不简单照搬通用自动布线器，而是将网络流中的容量思想、领域模型中的区域划分思想、蚁群算法中的拥塞反馈思想和线性规划合法化中的约束分层思想转化为轻量化规则，嵌入到C++可运行原型中，以满足本科毕业设计对算法可解释性、可复现性和工程适用性的要求。</w:t>
      </w:r>
    </w:p>
    <w:p w14:paraId="4536D2A4">
      <w:pPr>
        <w:spacing w:before="120" w:after="80" w:line="320" w:lineRule="exact"/>
        <w:jc w:val="center"/>
        <w:rPr>
          <w:color w:val="000000" w:themeColor="text1"/>
          <w14:textFill>
            <w14:solidFill>
              <w14:schemeClr w14:val="tx1"/>
            </w14:solidFill>
          </w14:textFill>
        </w:rPr>
      </w:pPr>
      <w:r>
        <w:rPr>
          <w:rFonts w:ascii="Times New Roman" w:hAnsi="Times New Roman" w:eastAsia="宋体"/>
          <w:color w:val="000000" w:themeColor="text1"/>
          <w:sz w:val="21"/>
          <w14:textFill>
            <w14:solidFill>
              <w14:schemeClr w14:val="tx1"/>
            </w14:solidFill>
          </w14:textFill>
        </w:rPr>
        <w:t>表 1-1 主要文献理论来源与本文落地方式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56587681">
        <w:trPr>
          <w:tblHeader/>
          <w:jc w:val="center"/>
        </w:trPr>
        <w:tc>
          <w:tcPr>
            <w:tcW w:w="2268" w:type="dxa"/>
            <w:vAlign w:val="center"/>
          </w:tcPr>
          <w:p w14:paraId="5279EC78">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文献类别</w:t>
            </w:r>
          </w:p>
        </w:tc>
        <w:tc>
          <w:tcPr>
            <w:tcW w:w="2268" w:type="dxa"/>
            <w:vAlign w:val="center"/>
          </w:tcPr>
          <w:p w14:paraId="7B03D530">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代表文献</w:t>
            </w:r>
          </w:p>
        </w:tc>
        <w:tc>
          <w:tcPr>
            <w:tcW w:w="2268" w:type="dxa"/>
            <w:vAlign w:val="center"/>
          </w:tcPr>
          <w:p w14:paraId="392F76F6">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核心理论/方法</w:t>
            </w:r>
          </w:p>
        </w:tc>
        <w:tc>
          <w:tcPr>
            <w:tcW w:w="2268" w:type="dxa"/>
            <w:vAlign w:val="center"/>
          </w:tcPr>
          <w:p w14:paraId="4D8E7A00">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本文采用方式</w:t>
            </w:r>
          </w:p>
        </w:tc>
      </w:tr>
      <w:tr w14:paraId="59E0A784">
        <w:trPr>
          <w:jc w:val="center"/>
        </w:trPr>
        <w:tc>
          <w:tcPr>
            <w:tcW w:w="2268" w:type="dxa"/>
            <w:vAlign w:val="center"/>
          </w:tcPr>
          <w:p w14:paraId="3088FBD7">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DFT与TPI</w:t>
            </w:r>
          </w:p>
        </w:tc>
        <w:tc>
          <w:tcPr>
            <w:tcW w:w="2268" w:type="dxa"/>
            <w:vAlign w:val="center"/>
          </w:tcPr>
          <w:p w14:paraId="48C1BD47">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Khalil等</w:t>
            </w:r>
            <w:r>
              <w:rPr>
                <w:rFonts w:ascii="Times New Roman" w:hAnsi="Times New Roman" w:eastAsia="宋体"/>
                <w:color w:val="000000" w:themeColor="text1"/>
                <w:sz w:val="19"/>
                <w:vertAlign w:val="superscript"/>
                <w14:textFill>
                  <w14:solidFill>
                    <w14:schemeClr w14:val="tx1"/>
                  </w14:solidFill>
                </w14:textFill>
              </w:rPr>
              <w:t>[1]</w:t>
            </w:r>
            <w:r>
              <w:rPr>
                <w:rFonts w:ascii="Times New Roman" w:hAnsi="Times New Roman" w:eastAsia="宋体"/>
                <w:color w:val="000000" w:themeColor="text1"/>
                <w:sz w:val="19"/>
                <w14:textFill>
                  <w14:solidFill>
                    <w14:schemeClr w14:val="tx1"/>
                  </w14:solidFill>
                </w14:textFill>
              </w:rPr>
              <w:t>、Yang等</w:t>
            </w:r>
            <w:r>
              <w:rPr>
                <w:rFonts w:ascii="Times New Roman" w:hAnsi="Times New Roman" w:eastAsia="宋体"/>
                <w:color w:val="000000" w:themeColor="text1"/>
                <w:sz w:val="19"/>
                <w:vertAlign w:val="superscript"/>
                <w14:textFill>
                  <w14:solidFill>
                    <w14:schemeClr w14:val="tx1"/>
                  </w14:solidFill>
                </w14:textFill>
              </w:rPr>
              <w:t>[3]</w:t>
            </w:r>
            <w:r>
              <w:rPr>
                <w:rFonts w:ascii="Times New Roman" w:hAnsi="Times New Roman" w:eastAsia="宋体"/>
                <w:color w:val="000000" w:themeColor="text1"/>
                <w:sz w:val="19"/>
                <w14:textFill>
                  <w14:solidFill>
                    <w14:schemeClr w14:val="tx1"/>
                  </w14:solidFill>
                </w14:textFill>
              </w:rPr>
              <w:t>、Shi等</w:t>
            </w:r>
            <w:r>
              <w:rPr>
                <w:rFonts w:ascii="Times New Roman" w:hAnsi="Times New Roman" w:eastAsia="宋体"/>
                <w:color w:val="000000" w:themeColor="text1"/>
                <w:sz w:val="19"/>
                <w:vertAlign w:val="superscript"/>
                <w14:textFill>
                  <w14:solidFill>
                    <w14:schemeClr w14:val="tx1"/>
                  </w14:solidFill>
                </w14:textFill>
              </w:rPr>
              <w:t>[2]</w:t>
            </w:r>
          </w:p>
        </w:tc>
        <w:tc>
          <w:tcPr>
            <w:tcW w:w="2268" w:type="dxa"/>
            <w:vAlign w:val="center"/>
          </w:tcPr>
          <w:p w14:paraId="49E2A70D">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测试点插入、控制/观察点、图强化学习选择策略</w:t>
            </w:r>
          </w:p>
        </w:tc>
        <w:tc>
          <w:tcPr>
            <w:tcW w:w="2268" w:type="dxa"/>
            <w:vAlign w:val="center"/>
          </w:tcPr>
          <w:p w14:paraId="4A97F40C">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把“节点级TPI”转化为“几何候选点选择”，以覆盖率和可达性作为首要指标</w:t>
            </w:r>
          </w:p>
        </w:tc>
      </w:tr>
      <w:tr w14:paraId="37A5080D">
        <w:trPr>
          <w:jc w:val="center"/>
        </w:trPr>
        <w:tc>
          <w:tcPr>
            <w:tcW w:w="2268" w:type="dxa"/>
            <w:vAlign w:val="center"/>
          </w:tcPr>
          <w:p w14:paraId="1C23CB2F">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经典PCB布线</w:t>
            </w:r>
          </w:p>
        </w:tc>
        <w:tc>
          <w:tcPr>
            <w:tcW w:w="2268" w:type="dxa"/>
            <w:vAlign w:val="center"/>
          </w:tcPr>
          <w:p w14:paraId="0BB225AB">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Lee</w:t>
            </w:r>
            <w:r>
              <w:rPr>
                <w:rFonts w:ascii="Times New Roman" w:hAnsi="Times New Roman" w:eastAsia="宋体"/>
                <w:color w:val="000000" w:themeColor="text1"/>
                <w:sz w:val="19"/>
                <w:vertAlign w:val="superscript"/>
                <w14:textFill>
                  <w14:solidFill>
                    <w14:schemeClr w14:val="tx1"/>
                  </w14:solidFill>
                </w14:textFill>
              </w:rPr>
              <w:t>[8]</w:t>
            </w:r>
            <w:r>
              <w:rPr>
                <w:rFonts w:ascii="Times New Roman" w:hAnsi="Times New Roman" w:eastAsia="宋体"/>
                <w:color w:val="000000" w:themeColor="text1"/>
                <w:sz w:val="19"/>
                <w14:textFill>
                  <w14:solidFill>
                    <w14:schemeClr w14:val="tx1"/>
                  </w14:solidFill>
                </w14:textFill>
              </w:rPr>
              <w:t>、Hightower</w:t>
            </w:r>
            <w:r>
              <w:rPr>
                <w:rFonts w:ascii="Times New Roman" w:hAnsi="Times New Roman" w:eastAsia="宋体"/>
                <w:color w:val="000000" w:themeColor="text1"/>
                <w:sz w:val="19"/>
                <w:vertAlign w:val="superscript"/>
                <w14:textFill>
                  <w14:solidFill>
                    <w14:schemeClr w14:val="tx1"/>
                  </w14:solidFill>
                </w14:textFill>
              </w:rPr>
              <w:t>[9]</w:t>
            </w:r>
            <w:r>
              <w:rPr>
                <w:rFonts w:ascii="Times New Roman" w:hAnsi="Times New Roman" w:eastAsia="宋体"/>
                <w:color w:val="000000" w:themeColor="text1"/>
                <w:sz w:val="19"/>
                <w14:textFill>
                  <w14:solidFill>
                    <w14:schemeClr w14:val="tx1"/>
                  </w14:solidFill>
                </w14:textFill>
              </w:rPr>
              <w:t>、Soukup</w:t>
            </w:r>
            <w:r>
              <w:rPr>
                <w:rFonts w:ascii="Times New Roman" w:hAnsi="Times New Roman" w:eastAsia="宋体"/>
                <w:color w:val="000000" w:themeColor="text1"/>
                <w:sz w:val="19"/>
                <w:vertAlign w:val="superscript"/>
                <w14:textFill>
                  <w14:solidFill>
                    <w14:schemeClr w14:val="tx1"/>
                  </w14:solidFill>
                </w14:textFill>
              </w:rPr>
              <w:t>[10]</w:t>
            </w:r>
            <w:r>
              <w:rPr>
                <w:rFonts w:ascii="Times New Roman" w:hAnsi="Times New Roman" w:eastAsia="宋体"/>
                <w:color w:val="000000" w:themeColor="text1"/>
                <w:sz w:val="19"/>
                <w14:textFill>
                  <w14:solidFill>
                    <w14:schemeClr w14:val="tx1"/>
                  </w14:solidFill>
                </w14:textFill>
              </w:rPr>
              <w:t>、Hadlock</w:t>
            </w:r>
            <w:r>
              <w:rPr>
                <w:rFonts w:ascii="Times New Roman" w:hAnsi="Times New Roman" w:eastAsia="宋体"/>
                <w:color w:val="000000" w:themeColor="text1"/>
                <w:sz w:val="19"/>
                <w:vertAlign w:val="superscript"/>
                <w14:textFill>
                  <w14:solidFill>
                    <w14:schemeClr w14:val="tx1"/>
                  </w14:solidFill>
                </w14:textFill>
              </w:rPr>
              <w:t>[11]</w:t>
            </w:r>
            <w:r>
              <w:rPr>
                <w:rFonts w:ascii="Times New Roman" w:hAnsi="Times New Roman" w:eastAsia="宋体"/>
                <w:color w:val="000000" w:themeColor="text1"/>
                <w:sz w:val="19"/>
                <w14:textFill>
                  <w14:solidFill>
                    <w14:schemeClr w14:val="tx1"/>
                  </w14:solidFill>
                </w14:textFill>
              </w:rPr>
              <w:t>、Yan和Wong</w:t>
            </w:r>
            <w:r>
              <w:rPr>
                <w:rFonts w:ascii="Times New Roman" w:hAnsi="Times New Roman" w:eastAsia="宋体"/>
                <w:color w:val="000000" w:themeColor="text1"/>
                <w:sz w:val="19"/>
                <w:vertAlign w:val="superscript"/>
                <w14:textFill>
                  <w14:solidFill>
                    <w14:schemeClr w14:val="tx1"/>
                  </w14:solidFill>
                </w14:textFill>
              </w:rPr>
              <w:t>[4]</w:t>
            </w:r>
          </w:p>
        </w:tc>
        <w:tc>
          <w:tcPr>
            <w:tcW w:w="2268" w:type="dxa"/>
            <w:vAlign w:val="center"/>
          </w:tcPr>
          <w:p w14:paraId="231A2238">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网格搜索、逃逸布线、启发式最短路径、综述框架</w:t>
            </w:r>
          </w:p>
        </w:tc>
        <w:tc>
          <w:tcPr>
            <w:tcW w:w="2268" w:type="dxa"/>
            <w:vAlign w:val="center"/>
          </w:tcPr>
          <w:p w14:paraId="6AB75797">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采用A*网格布线作为细节路径搜索核心，并设置障碍避让和线长指标</w:t>
            </w:r>
          </w:p>
        </w:tc>
      </w:tr>
      <w:tr w14:paraId="7A267144">
        <w:trPr>
          <w:jc w:val="center"/>
        </w:trPr>
        <w:tc>
          <w:tcPr>
            <w:tcW w:w="2268" w:type="dxa"/>
            <w:vAlign w:val="center"/>
          </w:tcPr>
          <w:p w14:paraId="63131D24">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合法化与约束处理</w:t>
            </w:r>
          </w:p>
        </w:tc>
        <w:tc>
          <w:tcPr>
            <w:tcW w:w="2268" w:type="dxa"/>
            <w:vAlign w:val="center"/>
          </w:tcPr>
          <w:p w14:paraId="152940C2">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Chen等</w:t>
            </w:r>
            <w:r>
              <w:rPr>
                <w:rFonts w:ascii="Times New Roman" w:hAnsi="Times New Roman" w:eastAsia="宋体"/>
                <w:color w:val="000000" w:themeColor="text1"/>
                <w:sz w:val="19"/>
                <w:vertAlign w:val="superscript"/>
                <w14:textFill>
                  <w14:solidFill>
                    <w14:schemeClr w14:val="tx1"/>
                  </w14:solidFill>
                </w14:textFill>
              </w:rPr>
              <w:t>[5]</w:t>
            </w:r>
            <w:r>
              <w:rPr>
                <w:rFonts w:ascii="Times New Roman" w:hAnsi="Times New Roman" w:eastAsia="宋体"/>
                <w:color w:val="000000" w:themeColor="text1"/>
                <w:sz w:val="19"/>
                <w14:textFill>
                  <w14:solidFill>
                    <w14:schemeClr w14:val="tx1"/>
                  </w14:solidFill>
                </w14:textFill>
              </w:rPr>
              <w:t>、IPC-2221B</w:t>
            </w:r>
            <w:r>
              <w:rPr>
                <w:rFonts w:ascii="Times New Roman" w:hAnsi="Times New Roman" w:eastAsia="宋体"/>
                <w:color w:val="000000" w:themeColor="text1"/>
                <w:sz w:val="19"/>
                <w:vertAlign w:val="superscript"/>
                <w14:textFill>
                  <w14:solidFill>
                    <w14:schemeClr w14:val="tx1"/>
                  </w14:solidFill>
                </w14:textFill>
              </w:rPr>
              <w:t>[13]</w:t>
            </w:r>
            <w:r>
              <w:rPr>
                <w:rFonts w:ascii="Times New Roman" w:hAnsi="Times New Roman" w:eastAsia="宋体"/>
                <w:color w:val="000000" w:themeColor="text1"/>
                <w:sz w:val="19"/>
                <w14:textFill>
                  <w14:solidFill>
                    <w14:schemeClr w14:val="tx1"/>
                  </w14:solidFill>
                </w14:textFill>
              </w:rPr>
              <w:t>、IPC-A-600</w:t>
            </w:r>
            <w:r>
              <w:rPr>
                <w:rFonts w:ascii="Times New Roman" w:hAnsi="Times New Roman" w:eastAsia="宋体"/>
                <w:color w:val="000000" w:themeColor="text1"/>
                <w:sz w:val="19"/>
                <w:vertAlign w:val="superscript"/>
                <w14:textFill>
                  <w14:solidFill>
                    <w14:schemeClr w14:val="tx1"/>
                  </w14:solidFill>
                </w14:textFill>
              </w:rPr>
              <w:t>[14]</w:t>
            </w:r>
          </w:p>
        </w:tc>
        <w:tc>
          <w:tcPr>
            <w:tcW w:w="2268" w:type="dxa"/>
            <w:vAlign w:val="center"/>
          </w:tcPr>
          <w:p w14:paraId="3114B9FA">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线性规划合法化、设计规则、制造验收约束</w:t>
            </w:r>
          </w:p>
        </w:tc>
        <w:tc>
          <w:tcPr>
            <w:tcW w:w="2268" w:type="dxa"/>
            <w:vAlign w:val="center"/>
          </w:tcPr>
          <w:p w14:paraId="58C70D2A">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区分硬约束、半硬约束和软目标，形成规则库与违规统计</w:t>
            </w:r>
          </w:p>
        </w:tc>
      </w:tr>
      <w:tr w14:paraId="1D99BFCA">
        <w:trPr>
          <w:jc w:val="center"/>
        </w:trPr>
        <w:tc>
          <w:tcPr>
            <w:tcW w:w="2268" w:type="dxa"/>
            <w:vAlign w:val="center"/>
          </w:tcPr>
          <w:p w14:paraId="2DE1E74E">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网络流与拥塞建模</w:t>
            </w:r>
          </w:p>
        </w:tc>
        <w:tc>
          <w:tcPr>
            <w:tcW w:w="2268" w:type="dxa"/>
            <w:vAlign w:val="center"/>
          </w:tcPr>
          <w:p w14:paraId="2B7E97A7">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胡木森</w:t>
            </w:r>
            <w:r>
              <w:rPr>
                <w:rFonts w:ascii="Times New Roman" w:hAnsi="Times New Roman" w:eastAsia="宋体"/>
                <w:color w:val="000000" w:themeColor="text1"/>
                <w:sz w:val="19"/>
                <w:vertAlign w:val="superscript"/>
                <w14:textFill>
                  <w14:solidFill>
                    <w14:schemeClr w14:val="tx1"/>
                  </w14:solidFill>
                </w14:textFill>
              </w:rPr>
              <w:t>[17]</w:t>
            </w:r>
          </w:p>
        </w:tc>
        <w:tc>
          <w:tcPr>
            <w:tcW w:w="2268" w:type="dxa"/>
            <w:vAlign w:val="center"/>
          </w:tcPr>
          <w:p w14:paraId="479164FB">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Tile/区域容量、流分配、预布线拥塞更新</w:t>
            </w:r>
          </w:p>
        </w:tc>
        <w:tc>
          <w:tcPr>
            <w:tcW w:w="2268" w:type="dxa"/>
            <w:vAlign w:val="center"/>
          </w:tcPr>
          <w:p w14:paraId="14A447D9">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建立Tile容量解释层和拥塞矩阵，用动态代价指导重布线</w:t>
            </w:r>
          </w:p>
        </w:tc>
      </w:tr>
      <w:tr w14:paraId="34942D8B">
        <w:trPr>
          <w:jc w:val="center"/>
        </w:trPr>
        <w:tc>
          <w:tcPr>
            <w:tcW w:w="2268" w:type="dxa"/>
            <w:vAlign w:val="center"/>
          </w:tcPr>
          <w:p w14:paraId="48D30C5E">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智能优化与拆线重布</w:t>
            </w:r>
          </w:p>
        </w:tc>
        <w:tc>
          <w:tcPr>
            <w:tcW w:w="2268" w:type="dxa"/>
            <w:vAlign w:val="center"/>
          </w:tcPr>
          <w:p w14:paraId="766D5A80">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刘自铭</w:t>
            </w:r>
            <w:r>
              <w:rPr>
                <w:rFonts w:ascii="Times New Roman" w:hAnsi="Times New Roman" w:eastAsia="宋体"/>
                <w:color w:val="000000" w:themeColor="text1"/>
                <w:sz w:val="19"/>
                <w:vertAlign w:val="superscript"/>
                <w14:textFill>
                  <w14:solidFill>
                    <w14:schemeClr w14:val="tx1"/>
                  </w14:solidFill>
                </w14:textFill>
              </w:rPr>
              <w:t>[18]</w:t>
            </w:r>
            <w:r>
              <w:rPr>
                <w:rFonts w:ascii="Times New Roman" w:hAnsi="Times New Roman" w:eastAsia="宋体"/>
                <w:color w:val="000000" w:themeColor="text1"/>
                <w:sz w:val="19"/>
                <w14:textFill>
                  <w14:solidFill>
                    <w14:schemeClr w14:val="tx1"/>
                  </w14:solidFill>
                </w14:textFill>
              </w:rPr>
              <w:t>、王磊</w:t>
            </w:r>
            <w:r>
              <w:rPr>
                <w:rFonts w:ascii="Times New Roman" w:hAnsi="Times New Roman" w:eastAsia="宋体"/>
                <w:color w:val="000000" w:themeColor="text1"/>
                <w:sz w:val="19"/>
                <w:vertAlign w:val="superscript"/>
                <w14:textFill>
                  <w14:solidFill>
                    <w14:schemeClr w14:val="tx1"/>
                  </w14:solidFill>
                </w14:textFill>
              </w:rPr>
              <w:t>[16]</w:t>
            </w:r>
          </w:p>
        </w:tc>
        <w:tc>
          <w:tcPr>
            <w:tcW w:w="2268" w:type="dxa"/>
            <w:vAlign w:val="center"/>
          </w:tcPr>
          <w:p w14:paraId="1491593F">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蚁群信息素、多轮次布线、阻塞度拆线重布</w:t>
            </w:r>
          </w:p>
        </w:tc>
        <w:tc>
          <w:tcPr>
            <w:tcW w:w="2268" w:type="dxa"/>
            <w:vAlign w:val="center"/>
          </w:tcPr>
          <w:p w14:paraId="07AD2023">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把网格占用次数类比为信息素浓度，对热点区域提高通过代价</w:t>
            </w:r>
          </w:p>
        </w:tc>
      </w:tr>
      <w:tr w14:paraId="0C6A3C90">
        <w:trPr>
          <w:jc w:val="center"/>
        </w:trPr>
        <w:tc>
          <w:tcPr>
            <w:tcW w:w="2268" w:type="dxa"/>
            <w:vAlign w:val="center"/>
          </w:tcPr>
          <w:p w14:paraId="2E5F9118">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领域模型与学习型布线</w:t>
            </w:r>
          </w:p>
        </w:tc>
        <w:tc>
          <w:tcPr>
            <w:tcW w:w="2268" w:type="dxa"/>
            <w:vAlign w:val="center"/>
          </w:tcPr>
          <w:p w14:paraId="05E4E3CA">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郑杰</w:t>
            </w:r>
            <w:r>
              <w:rPr>
                <w:rFonts w:ascii="Times New Roman" w:hAnsi="Times New Roman" w:eastAsia="宋体"/>
                <w:color w:val="000000" w:themeColor="text1"/>
                <w:sz w:val="19"/>
                <w:vertAlign w:val="superscript"/>
                <w14:textFill>
                  <w14:solidFill>
                    <w14:schemeClr w14:val="tx1"/>
                  </w14:solidFill>
                </w14:textFill>
              </w:rPr>
              <w:t>[19]</w:t>
            </w:r>
            <w:r>
              <w:rPr>
                <w:rFonts w:ascii="Times New Roman" w:hAnsi="Times New Roman" w:eastAsia="宋体"/>
                <w:color w:val="000000" w:themeColor="text1"/>
                <w:sz w:val="19"/>
                <w14:textFill>
                  <w14:solidFill>
                    <w14:schemeClr w14:val="tx1"/>
                  </w14:solidFill>
                </w14:textFill>
              </w:rPr>
              <w:t>、白胜泷</w:t>
            </w:r>
            <w:r>
              <w:rPr>
                <w:rFonts w:ascii="Times New Roman" w:hAnsi="Times New Roman" w:eastAsia="宋体"/>
                <w:color w:val="000000" w:themeColor="text1"/>
                <w:sz w:val="19"/>
                <w:vertAlign w:val="superscript"/>
                <w14:textFill>
                  <w14:solidFill>
                    <w14:schemeClr w14:val="tx1"/>
                  </w14:solidFill>
                </w14:textFill>
              </w:rPr>
              <w:t>[20]</w:t>
            </w:r>
            <w:r>
              <w:rPr>
                <w:rFonts w:ascii="Times New Roman" w:hAnsi="Times New Roman" w:eastAsia="宋体"/>
                <w:color w:val="000000" w:themeColor="text1"/>
                <w:sz w:val="19"/>
                <w14:textFill>
                  <w14:solidFill>
                    <w14:schemeClr w14:val="tx1"/>
                  </w14:solidFill>
                </w14:textFill>
              </w:rPr>
              <w:t>、Zhao等</w:t>
            </w:r>
            <w:r>
              <w:rPr>
                <w:rFonts w:ascii="Times New Roman" w:hAnsi="Times New Roman" w:eastAsia="宋体"/>
                <w:color w:val="000000" w:themeColor="text1"/>
                <w:sz w:val="19"/>
                <w:vertAlign w:val="superscript"/>
                <w14:textFill>
                  <w14:solidFill>
                    <w14:schemeClr w14:val="tx1"/>
                  </w14:solidFill>
                </w14:textFill>
              </w:rPr>
              <w:t>[6]</w:t>
            </w:r>
            <w:r>
              <w:rPr>
                <w:rFonts w:ascii="Times New Roman" w:hAnsi="Times New Roman" w:eastAsia="宋体"/>
                <w:color w:val="000000" w:themeColor="text1"/>
                <w:sz w:val="19"/>
                <w14:textFill>
                  <w14:solidFill>
                    <w14:schemeClr w14:val="tx1"/>
                  </w14:solidFill>
                </w14:textFill>
              </w:rPr>
              <w:t>、Martins</w:t>
            </w:r>
            <w:r>
              <w:rPr>
                <w:rFonts w:ascii="Times New Roman" w:hAnsi="Times New Roman" w:eastAsia="宋体"/>
                <w:color w:val="000000" w:themeColor="text1"/>
                <w:sz w:val="19"/>
                <w:vertAlign w:val="superscript"/>
                <w14:textFill>
                  <w14:solidFill>
                    <w14:schemeClr w14:val="tx1"/>
                  </w14:solidFill>
                </w14:textFill>
              </w:rPr>
              <w:t>[7]</w:t>
            </w:r>
          </w:p>
        </w:tc>
        <w:tc>
          <w:tcPr>
            <w:tcW w:w="2268" w:type="dxa"/>
            <w:vAlign w:val="center"/>
          </w:tcPr>
          <w:p w14:paraId="241E2316">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语义编码、Transformer-A*融合、神经网络辅助布局布线</w:t>
            </w:r>
          </w:p>
        </w:tc>
        <w:tc>
          <w:tcPr>
            <w:tcW w:w="2268" w:type="dxa"/>
            <w:vAlign w:val="center"/>
          </w:tcPr>
          <w:p w14:paraId="108B3640">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当前不训练模型，但保留分区、语义指标和后续学习接口</w:t>
            </w:r>
          </w:p>
        </w:tc>
      </w:tr>
      <w:tr w14:paraId="1163DDD1">
        <w:trPr>
          <w:jc w:val="center"/>
        </w:trPr>
        <w:tc>
          <w:tcPr>
            <w:tcW w:w="2268" w:type="dxa"/>
            <w:vAlign w:val="center"/>
          </w:tcPr>
          <w:p w14:paraId="2AAD52AE">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金手指与DFT工程文档</w:t>
            </w:r>
          </w:p>
        </w:tc>
        <w:tc>
          <w:tcPr>
            <w:tcW w:w="2268" w:type="dxa"/>
            <w:vAlign w:val="center"/>
          </w:tcPr>
          <w:p w14:paraId="4A5468BA">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PCBCart</w:t>
            </w:r>
            <w:r>
              <w:rPr>
                <w:rFonts w:ascii="Times New Roman" w:hAnsi="Times New Roman" w:eastAsia="宋体"/>
                <w:color w:val="000000" w:themeColor="text1"/>
                <w:sz w:val="19"/>
                <w:vertAlign w:val="superscript"/>
                <w14:textFill>
                  <w14:solidFill>
                    <w14:schemeClr w14:val="tx1"/>
                  </w14:solidFill>
                </w14:textFill>
              </w:rPr>
              <w:t>[21]</w:t>
            </w:r>
            <w:r>
              <w:rPr>
                <w:rFonts w:ascii="Times New Roman" w:hAnsi="Times New Roman" w:eastAsia="宋体"/>
                <w:color w:val="000000" w:themeColor="text1"/>
                <w:sz w:val="19"/>
                <w14:textFill>
                  <w14:solidFill>
                    <w14:schemeClr w14:val="tx1"/>
                  </w14:solidFill>
                </w14:textFill>
              </w:rPr>
              <w:t>、WellPCB</w:t>
            </w:r>
            <w:r>
              <w:rPr>
                <w:rFonts w:ascii="Times New Roman" w:hAnsi="Times New Roman" w:eastAsia="宋体"/>
                <w:color w:val="000000" w:themeColor="text1"/>
                <w:sz w:val="19"/>
                <w:vertAlign w:val="superscript"/>
                <w14:textFill>
                  <w14:solidFill>
                    <w14:schemeClr w14:val="tx1"/>
                  </w14:solidFill>
                </w14:textFill>
              </w:rPr>
              <w:t>[22]</w:t>
            </w:r>
            <w:r>
              <w:rPr>
                <w:rFonts w:ascii="Times New Roman" w:hAnsi="Times New Roman" w:eastAsia="宋体"/>
                <w:color w:val="000000" w:themeColor="text1"/>
                <w:sz w:val="19"/>
                <w14:textFill>
                  <w14:solidFill>
                    <w14:schemeClr w14:val="tx1"/>
                  </w14:solidFill>
                </w14:textFill>
              </w:rPr>
              <w:t>、NexPCB</w:t>
            </w:r>
            <w:r>
              <w:rPr>
                <w:rFonts w:ascii="Times New Roman" w:hAnsi="Times New Roman" w:eastAsia="宋体"/>
                <w:color w:val="000000" w:themeColor="text1"/>
                <w:sz w:val="19"/>
                <w:vertAlign w:val="superscript"/>
                <w14:textFill>
                  <w14:solidFill>
                    <w14:schemeClr w14:val="tx1"/>
                  </w14:solidFill>
                </w14:textFill>
              </w:rPr>
              <w:t>[23]</w:t>
            </w:r>
          </w:p>
        </w:tc>
        <w:tc>
          <w:tcPr>
            <w:tcW w:w="2268" w:type="dxa"/>
            <w:vAlign w:val="center"/>
          </w:tcPr>
          <w:p w14:paraId="4F0F8C26">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金手指结构、硬金工艺、PCB可测性设计建议</w:t>
            </w:r>
          </w:p>
        </w:tc>
        <w:tc>
          <w:tcPr>
            <w:tcW w:w="2268" w:type="dxa"/>
            <w:vAlign w:val="center"/>
          </w:tcPr>
          <w:p w14:paraId="12A7EEA1">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为测试点间距、边缘避让、障碍建模和工程适用性讨论提供参数依据</w:t>
            </w:r>
          </w:p>
        </w:tc>
      </w:tr>
    </w:tbl>
    <w:p w14:paraId="792676C4">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由表 1-1可见，本文的改进重点不是简单增加参考文献数量，而是把不同文献中的理论落到论文结构、算法模块和实验指标中：DFT文献对应测试覆盖率，经典布线文献对应A*路径搜索，网络流文献对应容量与拥塞，蚁群文献对应信息素式动态代价，领域模型和Transformer文献对应分区、语义化和后续智能化扩展。这种写法能够使论文从“实现一个可运行程序”提升为“具有明确文献来源和理论支撑的自动化设计方法”。</w:t>
      </w:r>
    </w:p>
    <w:p w14:paraId="7FEBFDBC">
      <w:pPr>
        <w:pStyle w:val="4"/>
        <w:spacing w:before="16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1.3 研究内容与论文结构</w:t>
      </w:r>
    </w:p>
    <w:p w14:paraId="3921A629">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本文围绕面向PCB金手指的测试尾板自动化设计展开，研究内容与毕业设计任务书的六项要求保持一致：完成文献调研和开题基础工作，建立金手指测试尾板案例与约束模型，设计布点布线算法，完成C++核心代码实现，开展人工/规则基线与优化算法的量化对比，并在实验数据基础上完成毕业论文撰写。具体而言，本文首先梳理金手指测试尾板的结构、工艺和测试需求，建立布点布线设计规则库；随后提出测试点候选生成、初始布点、局部优化、A*布线和拥塞重布线的一体化流程；再基于C++17实现命令行算法原型，形成可复现实验数据和可视化结果；最后构造五类典型案例，与规则基线方案进行对比，分析算法在覆盖率、布通率、面积占比、线长、拥塞和违规数方面的效果。论文第二章介绍理论基础和约束建模，第三章给出布点算法，第四章给出布线与协同优化方法，第五章介绍系统实现，第六章分析实验结果，第七章总结全文并展望后续工作。</w:t>
      </w:r>
    </w:p>
    <w:p w14:paraId="539F5370">
      <w:pPr>
        <w:pStyle w:val="4"/>
        <w:spacing w:before="16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1.4 任务书要求与完成情况</w:t>
      </w:r>
    </w:p>
    <w:p>
      <w:pPr>
        <w:spacing w:lineRule="exact" w:line="400" w:after="120"/>
        <w:ind w:firstLine="420"/>
      </w:pPr>
      <w:r>
        <w:rPr>
          <w:b w:val="0"/>
          <w:sz w:val="24"/>
          <w:rFonts w:eastAsia="宋体" w:ascii="Times New Roman" w:hAnsi="Times New Roman"/>
        </w:rPr>
        <w:t>结合《武汉理工大学本科生毕业设计（论文）工作管理办法（试行）》中关于任务完成、数据处理、理论分析、程序资料和成果归档的要求，本文把论文、C++程序、案例数据、实验指标和可视化截图作为同一毕业设计成果链进行组织。论文正文负责说明理论依据和实验结论，程序与CSV/SVG/PNG结果负责支撑可复现实验，公开KiCad案例用于补充参数化仿真的工程来源说明。</w:t>
      </w:r>
    </w:p>
    <w:p w14:paraId="552F687F">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为保证论文内容能够直接对应毕业设计主要任务和验收要求，本文将任务书要求归纳为六项，并在论文、代码和实验结果中逐项落实。需要说明的是，受企业原始PCB设计文件获取条件限制，因此第二项中的案例获取采用“真实应用场景参数化构造”的方式完成，即依据金手指数量、板边间距、测试点间距、尾板尺寸和障碍区等工程约束构造案例化仿真数据，论文中不声称实验数据来自企业量产板卡。</w:t>
      </w:r>
    </w:p>
    <w:p w14:paraId="24882D4C">
      <w:pPr>
        <w:spacing w:before="120" w:after="80" w:line="320" w:lineRule="exact"/>
        <w:jc w:val="center"/>
        <w:rPr>
          <w:color w:val="000000" w:themeColor="text1"/>
          <w14:textFill>
            <w14:solidFill>
              <w14:schemeClr w14:val="tx1"/>
            </w14:solidFill>
          </w14:textFill>
        </w:rPr>
      </w:pPr>
      <w:r>
        <w:rPr>
          <w:rFonts w:ascii="Times New Roman" w:hAnsi="Times New Roman" w:eastAsia="宋体"/>
          <w:color w:val="000000" w:themeColor="text1"/>
          <w:sz w:val="21"/>
          <w14:textFill>
            <w14:solidFill>
              <w14:schemeClr w14:val="tx1"/>
            </w14:solidFill>
          </w14:textFill>
        </w:rPr>
        <w:t>表 1-2 任务书要求与完成情况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2381"/>
        <w:gridCol w:w="3402"/>
        <w:gridCol w:w="2721"/>
      </w:tblGrid>
      <w:tr w14:paraId="621D8F2C">
        <w:trPr>
          <w:tblHeader/>
          <w:jc w:val="center"/>
        </w:trPr>
        <w:tc>
          <w:tcPr>
            <w:tcW w:w="680" w:type="dxa"/>
            <w:shd w:val="clear" w:color="auto" w:fill="EAF2F8"/>
            <w:vAlign w:val="center"/>
          </w:tcPr>
          <w:p w14:paraId="615537AB">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序号</w:t>
            </w:r>
          </w:p>
        </w:tc>
        <w:tc>
          <w:tcPr>
            <w:tcW w:w="2381" w:type="dxa"/>
            <w:shd w:val="clear" w:color="auto" w:fill="EAF2F8"/>
            <w:vAlign w:val="center"/>
          </w:tcPr>
          <w:p w14:paraId="15DCB6A5">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任务书主要要求</w:t>
            </w:r>
          </w:p>
        </w:tc>
        <w:tc>
          <w:tcPr>
            <w:tcW w:w="3402" w:type="dxa"/>
            <w:shd w:val="clear" w:color="auto" w:fill="EAF2F8"/>
            <w:vAlign w:val="center"/>
          </w:tcPr>
          <w:p w14:paraId="7BB515B6">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本文完成方式</w:t>
            </w:r>
          </w:p>
        </w:tc>
        <w:tc>
          <w:tcPr>
            <w:tcW w:w="2721" w:type="dxa"/>
            <w:shd w:val="clear" w:color="auto" w:fill="EAF2F8"/>
            <w:vAlign w:val="center"/>
          </w:tcPr>
          <w:p w14:paraId="280EC779">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对应成果</w:t>
            </w:r>
          </w:p>
        </w:tc>
      </w:tr>
      <w:tr w14:paraId="6BC4805F">
        <w:trPr>
          <w:jc w:val="center"/>
        </w:trPr>
        <w:tc>
          <w:tcPr>
            <w:tcW w:w="680" w:type="dxa"/>
            <w:vAlign w:val="center"/>
          </w:tcPr>
          <w:p w14:paraId="2761A7C4">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w:t>
            </w:r>
          </w:p>
        </w:tc>
        <w:tc>
          <w:tcPr>
            <w:tcW w:w="2381" w:type="dxa"/>
            <w:vAlign w:val="center"/>
          </w:tcPr>
          <w:p w14:paraId="4389ED32">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查阅不少于15篇文献，其中近五年英文文献不少于3篇，完成开题基础工作</w:t>
            </w:r>
          </w:p>
        </w:tc>
        <w:tc>
          <w:tcPr>
            <w:tcW w:w="3402" w:type="dxa"/>
            <w:vAlign w:val="center"/>
          </w:tcPr>
          <w:p w14:paraId="345926B3">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围绕DFT测试点插入、PCB自动布线、网络流、蚁群算法、领域模型和Transformer-A*布线整理国内外研究现状</w:t>
            </w:r>
          </w:p>
        </w:tc>
        <w:tc>
          <w:tcPr>
            <w:tcW w:w="2721" w:type="dxa"/>
            <w:vAlign w:val="center"/>
          </w:tcPr>
          <w:p w14:paraId="5380CD6A">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参考文献23篇；近五年英文文献包括DeepTPI、NS-Place、Legalized Routing、Integration综述等</w:t>
            </w:r>
          </w:p>
        </w:tc>
      </w:tr>
      <w:tr w14:paraId="04AA8080">
        <w:trPr>
          <w:jc w:val="center"/>
        </w:trPr>
        <w:tc>
          <w:tcPr>
            <w:tcW w:w="680" w:type="dxa"/>
            <w:vAlign w:val="center"/>
          </w:tcPr>
          <w:p w14:paraId="188D1F20">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2</w:t>
            </w:r>
          </w:p>
        </w:tc>
        <w:tc>
          <w:tcPr>
            <w:tcW w:w="2381" w:type="dxa"/>
            <w:vAlign w:val="center"/>
          </w:tcPr>
          <w:p w14:paraId="632ADA61">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获取真实应用场景下PCB金手指测试尾板设计案例，并确定布点布线约束</w:t>
            </w:r>
          </w:p>
        </w:tc>
        <w:tc>
          <w:tcPr>
            <w:tcW w:w="3402" w:type="dxa"/>
            <w:vAlign w:val="center"/>
          </w:tcPr>
          <w:p w14:paraId="7D5D370D">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在无企业原始文件条件下，构造40 pin、80 pin、120 pin、含障碍96 pin和面积受限100 pin五类案例，并给出尾板尺寸、间距、障碍和网格规则</w:t>
            </w:r>
          </w:p>
        </w:tc>
        <w:tc>
          <w:tcPr>
            <w:tcW w:w="2721" w:type="dxa"/>
            <w:vAlign w:val="center"/>
          </w:tcPr>
          <w:p w14:paraId="0BC3597C">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data/case_01.csv至case_05.csv；第2章约束表；第6章案例表</w:t>
            </w:r>
          </w:p>
        </w:tc>
      </w:tr>
      <w:tr w14:paraId="62EF6EA4">
        <w:trPr>
          <w:jc w:val="center"/>
        </w:trPr>
        <w:tc>
          <w:tcPr>
            <w:tcW w:w="680" w:type="dxa"/>
            <w:vAlign w:val="center"/>
          </w:tcPr>
          <w:p w14:paraId="0BE71BE4">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3</w:t>
            </w:r>
          </w:p>
        </w:tc>
        <w:tc>
          <w:tcPr>
            <w:tcW w:w="2381" w:type="dxa"/>
            <w:vAlign w:val="center"/>
          </w:tcPr>
          <w:p w14:paraId="1D58685E">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设计面向PCB金手指测试尾板的布点布线算法，给出算法框架和设计过程</w:t>
            </w:r>
          </w:p>
        </w:tc>
        <w:tc>
          <w:tcPr>
            <w:tcW w:w="3402" w:type="dxa"/>
            <w:vAlign w:val="center"/>
          </w:tcPr>
          <w:p w14:paraId="2FD358DF">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形成规则网格候选生成、K-means初始分组、禁忌搜索、PSO-Hanan布点、A*布线和拥塞感知拆线重布流程</w:t>
            </w:r>
          </w:p>
        </w:tc>
        <w:tc>
          <w:tcPr>
            <w:tcW w:w="2721" w:type="dxa"/>
            <w:vAlign w:val="center"/>
          </w:tcPr>
          <w:p w14:paraId="290FCFEB">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第3章布点算法；第4章布线算法；图3.1流程图</w:t>
            </w:r>
          </w:p>
        </w:tc>
      </w:tr>
      <w:tr w14:paraId="4756E2FA">
        <w:trPr>
          <w:jc w:val="center"/>
        </w:trPr>
        <w:tc>
          <w:tcPr>
            <w:tcW w:w="680" w:type="dxa"/>
            <w:vAlign w:val="center"/>
          </w:tcPr>
          <w:p w14:paraId="11D58189">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4</w:t>
            </w:r>
          </w:p>
        </w:tc>
        <w:tc>
          <w:tcPr>
            <w:tcW w:w="2381" w:type="dxa"/>
            <w:vAlign w:val="center"/>
          </w:tcPr>
          <w:p w14:paraId="432DE175">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基于C++实现算法核心代码，确保代码可运行且注释清晰</w:t>
            </w:r>
          </w:p>
        </w:tc>
        <w:tc>
          <w:tcPr>
            <w:tcW w:w="3402" w:type="dxa"/>
            <w:vAlign w:val="center"/>
          </w:tcPr>
          <w:p w14:paraId="30969457">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采用C++17命令行原型实现案例解析、布点、布线、指标统计和SVG输出，同时提供CMakeLists.txt与Makefile</w:t>
            </w:r>
          </w:p>
        </w:tc>
        <w:tc>
          <w:tcPr>
            <w:tcW w:w="2721" w:type="dxa"/>
            <w:vAlign w:val="center"/>
          </w:tcPr>
          <w:p w14:paraId="4A8DA252">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include/pcb_tail_router.hpp；src/main.cpp；README.md；make run-all验证</w:t>
            </w:r>
          </w:p>
        </w:tc>
      </w:tr>
      <w:tr w14:paraId="6CCC56B4">
        <w:trPr>
          <w:jc w:val="center"/>
        </w:trPr>
        <w:tc>
          <w:tcPr>
            <w:tcW w:w="680" w:type="dxa"/>
            <w:vAlign w:val="center"/>
          </w:tcPr>
          <w:p w14:paraId="043D8D0E">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5</w:t>
            </w:r>
          </w:p>
        </w:tc>
        <w:tc>
          <w:tcPr>
            <w:tcW w:w="2381" w:type="dxa"/>
            <w:vAlign w:val="center"/>
          </w:tcPr>
          <w:p w14:paraId="700818AB">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开展对比实验，与人工布点布线在面积、布通率、合法性等指标上量化对比</w:t>
            </w:r>
          </w:p>
        </w:tc>
        <w:tc>
          <w:tcPr>
            <w:tcW w:w="3402" w:type="dxa"/>
            <w:vAlign w:val="center"/>
          </w:tcPr>
          <w:p w14:paraId="4EB27AA8">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以规则行列式方案近似人工经验基线，并与K-means、PSO-Hanan、拥塞重布线三类优化方案对比</w:t>
            </w:r>
          </w:p>
        </w:tc>
        <w:tc>
          <w:tcPr>
            <w:tcW w:w="2721" w:type="dxa"/>
            <w:vAlign w:val="center"/>
          </w:tcPr>
          <w:p w14:paraId="64372E9C">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results/case_*/metrics.csv；第6章指标表和三张对比图</w:t>
            </w:r>
          </w:p>
        </w:tc>
      </w:tr>
      <w:tr w14:paraId="0CAF7FC2">
        <w:trPr>
          <w:jc w:val="center"/>
        </w:trPr>
        <w:tc>
          <w:tcPr>
            <w:tcW w:w="680" w:type="dxa"/>
            <w:vAlign w:val="center"/>
          </w:tcPr>
          <w:p w14:paraId="685B4B11">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6</w:t>
            </w:r>
          </w:p>
        </w:tc>
        <w:tc>
          <w:tcPr>
            <w:tcW w:w="2381" w:type="dxa"/>
            <w:vAlign w:val="center"/>
          </w:tcPr>
          <w:p w14:paraId="6DFAE166">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分析实验数据并完成不少于1.2万字毕业论文</w:t>
            </w:r>
          </w:p>
        </w:tc>
        <w:tc>
          <w:tcPr>
            <w:tcW w:w="3402" w:type="dxa"/>
            <w:vAlign w:val="center"/>
          </w:tcPr>
          <w:p w14:paraId="579B31D2">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根据最新程序输出重建论文数据表、图表和结论，围绕布通率、面积、线长、拥塞和违规数进行分析</w:t>
            </w:r>
          </w:p>
        </w:tc>
        <w:tc>
          <w:tcPr>
            <w:tcW w:w="2721" w:type="dxa"/>
            <w:vAlign w:val="center"/>
          </w:tcPr>
          <w:p w14:paraId="2B20471F">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完成稿正文超过1.2万字；参考文献格式统一；DOCX渲染检查通过</w:t>
            </w:r>
          </w:p>
        </w:tc>
      </w:tr>
    </w:tbl>
    <w:p w14:paraId="421AE64E">
      <w:pPr>
        <w:pStyle w:val="4"/>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1.5 本文创新点</w:t>
      </w:r>
    </w:p>
    <w:p w14:paraId="627557FF">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第一，在问题建模方面，本文把金手指测试尾板从普通PCB布线问题中单独抽象出来，将线性密集金手指、可接触测试点、尾板边界、障碍区和线宽线距统一到候选点集合、网格图和Tile容量三个层次中描述，使布点约束与布线约束能够共用同一规则库。</w:t>
      </w:r>
    </w:p>
    <w:p w14:paraId="1D0EA161">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第二，在算法流程方面，本文形成“布点先验生成—布线可达性反馈—拥塞重布线修正”的闭环，而不是先布点再孤立布线。通过面积代价、路径长度代价和拥塞代价之间的权衡，使算法输出不仅能够布通，还能解释为什么某些点位需要向尾板纵深或横向空闲区域展开。</w:t>
      </w:r>
    </w:p>
    <w:p w14:paraId="11554028">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第三，在实验评价方面，本文不只给出单一布通率，而是同时统计尾板面积占比、总线长、拥塞峰值、拥挤网格数量和违规数，并设置低密度、中密度、高密度、含障碍和面积受限五类案例，使结果更接近工程设计中对面积、效率和合法性的综合权衡。</w:t>
      </w:r>
    </w:p>
    <w:p w14:paraId="30E0501E">
      <w:pPr>
        <w:pStyle w:val="3"/>
        <w:pageBreakBefore/>
        <w:spacing w:before="240" w:after="12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2 相关理论与约束建模</w:t>
      </w:r>
    </w:p>
    <w:p w14:paraId="7F01EE24">
      <w:pPr>
        <w:pStyle w:val="4"/>
        <w:spacing w:before="16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2.1 PCB金手指与测试尾板结构</w:t>
      </w:r>
    </w:p>
    <w:p w14:paraId="5405CA95">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CB金手指通常分布在板边，端子形状为长条状镀金焊盘，按固定间距排列并与外部插槽接触。根据应用场景不同，金手指可能承载电源、地、高速差分信号、普通数字信号或控制信号。测试尾板设计需要将这些端子引出到便于探针接触的位置，同时尽量不改变被测板主体电气特性。尾板一般位于金手指外侧或延伸区域，其尺寸受夹具空间、加工板材和后续分板要求约束，不能无限扩展。</w:t>
      </w:r>
    </w:p>
    <w:p w14:paraId="3BE48B17">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测试点可采用通孔测试点、表面贴装测试点或专用测试焊盘。对于飞针测试和在线测试，测试点直径、相邻点中心距、边缘避让距离和探针接触角度都会影响测试稳定性。阶段性报告中已把IPC-2221B、IPC-A-600以及金手指制造资料作为规则来源，因此本文在模型中将测试点最小间距、边缘余量和障碍避让作为基础硬约束</w:t>
      </w:r>
      <w:r>
        <w:rPr>
          <w:rFonts w:ascii="Times New Roman" w:hAnsi="Times New Roman" w:eastAsia="宋体"/>
          <w:color w:val="000000" w:themeColor="text1"/>
          <w:sz w:val="24"/>
          <w:vertAlign w:val="superscript"/>
          <w14:textFill>
            <w14:solidFill>
              <w14:schemeClr w14:val="tx1"/>
            </w14:solidFill>
          </w14:textFill>
        </w:rPr>
        <w:t>[13-14][21-23]</w:t>
      </w:r>
      <w:r>
        <w:rPr>
          <w:rFonts w:ascii="Times New Roman" w:hAnsi="Times New Roman" w:eastAsia="宋体"/>
          <w:color w:val="000000" w:themeColor="text1"/>
          <w:sz w:val="24"/>
          <w14:textFill>
            <w14:solidFill>
              <w14:schemeClr w14:val="tx1"/>
            </w14:solidFill>
          </w14:textFill>
        </w:rPr>
        <w:t>。本文将测试点抽象为圆形接触区域，将金手指端子抽象为位于尾板上边界的一组起点，将尾板可用区域抽象为二维矩形，并用障碍矩形描述不可布点和不可走线区域。该抽象虽然简化了真实PCB中的焊盘形状、过孔和多层叠构，但足以支持算法原型验证和论文实验分析。</w:t>
      </w:r>
    </w:p>
    <w:p w14:paraId="15B938D3">
      <w:pPr>
        <w:spacing w:before="120" w:after="80" w:line="320" w:lineRule="exact"/>
        <w:jc w:val="center"/>
        <w:rPr>
          <w:color w:val="000000" w:themeColor="text1"/>
          <w14:textFill>
            <w14:solidFill>
              <w14:schemeClr w14:val="tx1"/>
            </w14:solidFill>
          </w14:textFill>
        </w:rPr>
      </w:pPr>
      <w:r>
        <w:rPr>
          <w:rFonts w:ascii="Times New Roman" w:hAnsi="Times New Roman" w:eastAsia="宋体"/>
          <w:color w:val="000000" w:themeColor="text1"/>
          <w:sz w:val="21"/>
          <w14:textFill>
            <w14:solidFill>
              <w14:schemeClr w14:val="tx1"/>
            </w14:solidFill>
          </w14:textFill>
        </w:rPr>
        <w:t>表 2-1 金手指测试尾板主要设计约束</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1701"/>
        <w:gridCol w:w="2381"/>
        <w:gridCol w:w="3061"/>
      </w:tblGrid>
      <w:tr w14:paraId="3719FD9F">
        <w:trPr>
          <w:tblHeader/>
          <w:jc w:val="center"/>
        </w:trPr>
        <w:tc>
          <w:tcPr>
            <w:tcW w:w="1474" w:type="dxa"/>
            <w:shd w:val="clear" w:color="auto" w:fill="EAF2F8"/>
            <w:vAlign w:val="center"/>
          </w:tcPr>
          <w:p w14:paraId="0E9C773B">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约束类别</w:t>
            </w:r>
          </w:p>
        </w:tc>
        <w:tc>
          <w:tcPr>
            <w:tcW w:w="1701" w:type="dxa"/>
            <w:shd w:val="clear" w:color="auto" w:fill="EAF2F8"/>
            <w:vAlign w:val="center"/>
          </w:tcPr>
          <w:p w14:paraId="7A4A92A7">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参数</w:t>
            </w:r>
          </w:p>
        </w:tc>
        <w:tc>
          <w:tcPr>
            <w:tcW w:w="2381" w:type="dxa"/>
            <w:shd w:val="clear" w:color="auto" w:fill="EAF2F8"/>
            <w:vAlign w:val="center"/>
          </w:tcPr>
          <w:p w14:paraId="288E13A2">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本文取值/处理方式</w:t>
            </w:r>
          </w:p>
        </w:tc>
        <w:tc>
          <w:tcPr>
            <w:tcW w:w="3061" w:type="dxa"/>
            <w:shd w:val="clear" w:color="auto" w:fill="EAF2F8"/>
            <w:vAlign w:val="center"/>
          </w:tcPr>
          <w:p w14:paraId="55931373">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说明</w:t>
            </w:r>
          </w:p>
        </w:tc>
      </w:tr>
      <w:tr w14:paraId="4B3C745E">
        <w:trPr>
          <w:jc w:val="center"/>
        </w:trPr>
        <w:tc>
          <w:tcPr>
            <w:tcW w:w="1474" w:type="dxa"/>
            <w:vAlign w:val="center"/>
          </w:tcPr>
          <w:p w14:paraId="65C5DE23">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几何约束</w:t>
            </w:r>
          </w:p>
        </w:tc>
        <w:tc>
          <w:tcPr>
            <w:tcW w:w="1701" w:type="dxa"/>
            <w:vAlign w:val="center"/>
          </w:tcPr>
          <w:p w14:paraId="32D14E71">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尾板宽度与高度</w:t>
            </w:r>
          </w:p>
        </w:tc>
        <w:tc>
          <w:tcPr>
            <w:tcW w:w="2381" w:type="dxa"/>
            <w:vAlign w:val="center"/>
          </w:tcPr>
          <w:p w14:paraId="3004E6B3">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由案例CSV给定</w:t>
            </w:r>
          </w:p>
        </w:tc>
        <w:tc>
          <w:tcPr>
            <w:tcW w:w="3061" w:type="dxa"/>
            <w:vAlign w:val="center"/>
          </w:tcPr>
          <w:p w14:paraId="05689B78">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反映不同金手指密度和面积限制</w:t>
            </w:r>
          </w:p>
        </w:tc>
      </w:tr>
      <w:tr w14:paraId="3BDF09D9">
        <w:trPr>
          <w:jc w:val="center"/>
        </w:trPr>
        <w:tc>
          <w:tcPr>
            <w:tcW w:w="1474" w:type="dxa"/>
            <w:vAlign w:val="center"/>
          </w:tcPr>
          <w:p w14:paraId="2A12019F">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布点约束</w:t>
            </w:r>
          </w:p>
        </w:tc>
        <w:tc>
          <w:tcPr>
            <w:tcW w:w="1701" w:type="dxa"/>
            <w:vAlign w:val="center"/>
          </w:tcPr>
          <w:p w14:paraId="22FAEDC2">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测试点最小间距</w:t>
            </w:r>
          </w:p>
        </w:tc>
        <w:tc>
          <w:tcPr>
            <w:tcW w:w="2381" w:type="dxa"/>
            <w:vAlign w:val="center"/>
          </w:tcPr>
          <w:p w14:paraId="3368D386">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1.8-2.0 mm</w:t>
            </w:r>
          </w:p>
        </w:tc>
        <w:tc>
          <w:tcPr>
            <w:tcW w:w="3061" w:type="dxa"/>
            <w:vAlign w:val="center"/>
          </w:tcPr>
          <w:p w14:paraId="71BD3D15">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保证探针接触和工艺可制造性</w:t>
            </w:r>
          </w:p>
        </w:tc>
      </w:tr>
      <w:tr w14:paraId="1AB01938">
        <w:trPr>
          <w:jc w:val="center"/>
        </w:trPr>
        <w:tc>
          <w:tcPr>
            <w:tcW w:w="1474" w:type="dxa"/>
            <w:vAlign w:val="center"/>
          </w:tcPr>
          <w:p w14:paraId="6EC27975">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布线约束</w:t>
            </w:r>
          </w:p>
        </w:tc>
        <w:tc>
          <w:tcPr>
            <w:tcW w:w="1701" w:type="dxa"/>
            <w:vAlign w:val="center"/>
          </w:tcPr>
          <w:p w14:paraId="65C7A1AB">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网格步长</w:t>
            </w:r>
          </w:p>
        </w:tc>
        <w:tc>
          <w:tcPr>
            <w:tcW w:w="2381" w:type="dxa"/>
            <w:vAlign w:val="center"/>
          </w:tcPr>
          <w:p w14:paraId="3484A9F1">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1.0 mm</w:t>
            </w:r>
          </w:p>
        </w:tc>
        <w:tc>
          <w:tcPr>
            <w:tcW w:w="3061" w:type="dxa"/>
            <w:vAlign w:val="center"/>
          </w:tcPr>
          <w:p w14:paraId="1CB8E7ED">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用于A*搜索和可视化输出</w:t>
            </w:r>
          </w:p>
        </w:tc>
      </w:tr>
      <w:tr w14:paraId="36B94172">
        <w:trPr>
          <w:jc w:val="center"/>
        </w:trPr>
        <w:tc>
          <w:tcPr>
            <w:tcW w:w="1474" w:type="dxa"/>
            <w:vAlign w:val="center"/>
          </w:tcPr>
          <w:p w14:paraId="108A6179">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障碍约束</w:t>
            </w:r>
          </w:p>
        </w:tc>
        <w:tc>
          <w:tcPr>
            <w:tcW w:w="1701" w:type="dxa"/>
            <w:vAlign w:val="center"/>
          </w:tcPr>
          <w:p w14:paraId="7035237A">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禁布/禁走区域</w:t>
            </w:r>
          </w:p>
        </w:tc>
        <w:tc>
          <w:tcPr>
            <w:tcW w:w="2381" w:type="dxa"/>
            <w:vAlign w:val="center"/>
          </w:tcPr>
          <w:p w14:paraId="02B3D778">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矩形集合</w:t>
            </w:r>
          </w:p>
        </w:tc>
        <w:tc>
          <w:tcPr>
            <w:tcW w:w="3061" w:type="dxa"/>
            <w:vAlign w:val="center"/>
          </w:tcPr>
          <w:p w14:paraId="40814D3C">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模拟固定孔位、夹具避让和器件占位</w:t>
            </w:r>
          </w:p>
        </w:tc>
      </w:tr>
      <w:tr w14:paraId="5C4B4488">
        <w:trPr>
          <w:jc w:val="center"/>
        </w:trPr>
        <w:tc>
          <w:tcPr>
            <w:tcW w:w="1474" w:type="dxa"/>
            <w:vAlign w:val="center"/>
          </w:tcPr>
          <w:p w14:paraId="2F3BFACD">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合法性约束</w:t>
            </w:r>
          </w:p>
        </w:tc>
        <w:tc>
          <w:tcPr>
            <w:tcW w:w="1701" w:type="dxa"/>
            <w:vAlign w:val="center"/>
          </w:tcPr>
          <w:p w14:paraId="224ED54B">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违规统计</w:t>
            </w:r>
          </w:p>
        </w:tc>
        <w:tc>
          <w:tcPr>
            <w:tcW w:w="2381" w:type="dxa"/>
            <w:vAlign w:val="center"/>
          </w:tcPr>
          <w:p w14:paraId="2CE7128B">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未布点、未布通、点间距不足</w:t>
            </w:r>
          </w:p>
        </w:tc>
        <w:tc>
          <w:tcPr>
            <w:tcW w:w="3061" w:type="dxa"/>
            <w:vAlign w:val="center"/>
          </w:tcPr>
          <w:p w14:paraId="2FE52FC4">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用于对比算法质量</w:t>
            </w:r>
          </w:p>
        </w:tc>
      </w:tr>
    </w:tbl>
    <w:p w14:paraId="2C6369BB">
      <w:pPr>
        <w:rPr>
          <w:color w:val="000000" w:themeColor="text1"/>
          <w14:textFill>
            <w14:solidFill>
              <w14:schemeClr w14:val="tx1"/>
            </w14:solidFill>
          </w14:textFill>
        </w:rPr>
      </w:pPr>
    </w:p>
    <w:p w14:paraId="736C9914">
      <w:pPr>
        <w:pStyle w:val="4"/>
        <w:spacing w:before="16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2.2 布点布线数学模型</w:t>
      </w:r>
    </w:p>
    <w:p>
      <w:pPr>
        <w:spacing w:lineRule="exact" w:line="400" w:after="120"/>
        <w:ind w:firstLine="420"/>
      </w:pPr>
      <w:r>
        <w:rPr>
          <w:b w:val="0"/>
          <w:sz w:val="24"/>
          <w:rFonts w:eastAsia="宋体" w:ascii="Times New Roman" w:hAnsi="Times New Roman"/>
        </w:rPr>
        <w:t>为满足毕业设计管理办法中关于理论分析与计算正确性的要求，本文进一步把布点布线问题写成可复核的数学模型。金手指端子、候选测试点和布点决策变量定义如下：</w:t>
      </w:r>
    </w:p>
    <w:p>
      <w:pPr>
        <w:spacing w:lineRule="exact" w:line="400" w:after="120"/>
        <w:ind/>
        <w:jc w:val="center"/>
      </w:pPr>
      <w:r>
        <w:rPr>
          <w:b w:val="0"/>
          <w:sz w:val="24"/>
          <w:rFonts w:eastAsia="宋体" w:ascii="Times New Roman" w:hAnsi="Times New Roman"/>
        </w:rPr>
        <w:t>式（2-1）</w:t>
      </w:r>
    </w:p>
    <w:p>
      <w:pPr>
        <w:spacing w:lineRule="auto" w:line="240" w:after="120" w:before="40"/>
        <w:ind/>
        <w:jc w:val="center"/>
      </w:pPr>
      <w:r>
        <w:drawing>
          <wp:inline xmlns:a="http://schemas.openxmlformats.org/drawingml/2006/main" xmlns:pic="http://schemas.openxmlformats.org/drawingml/2006/picture">
            <wp:extent cx="4500000" cy="817494"/>
            <wp:docPr id="5" name="Picture 5"/>
            <wp:cNvGraphicFramePr>
              <a:graphicFrameLocks noChangeAspect="1"/>
            </wp:cNvGraphicFramePr>
            <a:graphic>
              <a:graphicData uri="http://schemas.openxmlformats.org/drawingml/2006/picture">
                <pic:pic>
                  <pic:nvPicPr>
                    <pic:cNvPr id="0" name="eq_2-1.png"/>
                    <pic:cNvPicPr/>
                  </pic:nvPicPr>
                  <pic:blipFill>
                    <a:blip r:embed="rId16"/>
                    <a:stretch>
                      <a:fillRect/>
                    </a:stretch>
                  </pic:blipFill>
                  <pic:spPr>
                    <a:xfrm>
                      <a:off x="0" y="0"/>
                      <a:ext cx="4500000" cy="817494"/>
                    </a:xfrm>
                    <a:prstGeom prst="rect"/>
                  </pic:spPr>
                </pic:pic>
              </a:graphicData>
            </a:graphic>
          </wp:inline>
        </w:drawing>
      </w:r>
    </w:p>
    <w:p>
      <w:pPr>
        <w:spacing w:lineRule="exact" w:line="400" w:after="120"/>
        <w:ind/>
        <w:jc w:val="center"/>
      </w:pPr>
      <w:r>
        <w:rPr>
          <w:b w:val="0"/>
          <w:sz w:val="24"/>
          <w:rFonts w:eastAsia="宋体" w:ascii="Times New Roman" w:hAnsi="Times New Roman"/>
        </w:rPr>
        <w:t>式（2-2）</w:t>
      </w:r>
    </w:p>
    <w:p>
      <w:pPr>
        <w:spacing w:lineRule="auto" w:line="240" w:after="120" w:before="40"/>
        <w:ind/>
        <w:jc w:val="center"/>
      </w:pPr>
      <w:r>
        <w:drawing>
          <wp:inline xmlns:a="http://schemas.openxmlformats.org/drawingml/2006/main" xmlns:pic="http://schemas.openxmlformats.org/drawingml/2006/picture">
            <wp:extent cx="4500000" cy="594612"/>
            <wp:docPr id="6" name="Picture 6"/>
            <wp:cNvGraphicFramePr>
              <a:graphicFrameLocks noChangeAspect="1"/>
            </wp:cNvGraphicFramePr>
            <a:graphic>
              <a:graphicData uri="http://schemas.openxmlformats.org/drawingml/2006/picture">
                <pic:pic>
                  <pic:nvPicPr>
                    <pic:cNvPr id="0" name="eq_2-2.png"/>
                    <pic:cNvPicPr/>
                  </pic:nvPicPr>
                  <pic:blipFill>
                    <a:blip r:embed="rId17"/>
                    <a:stretch>
                      <a:fillRect/>
                    </a:stretch>
                  </pic:blipFill>
                  <pic:spPr>
                    <a:xfrm>
                      <a:off x="0" y="0"/>
                      <a:ext cx="4500000" cy="594612"/>
                    </a:xfrm>
                    <a:prstGeom prst="rect"/>
                  </pic:spPr>
                </pic:pic>
              </a:graphicData>
            </a:graphic>
          </wp:inline>
        </w:drawing>
      </w:r>
    </w:p>
    <w:p>
      <w:pPr>
        <w:spacing w:lineRule="exact" w:line="400" w:after="120"/>
        <w:ind/>
        <w:jc w:val="center"/>
      </w:pPr>
      <w:r>
        <w:rPr>
          <w:b w:val="0"/>
          <w:sz w:val="24"/>
          <w:rFonts w:eastAsia="宋体" w:ascii="Times New Roman" w:hAnsi="Times New Roman"/>
        </w:rPr>
        <w:t>式（2-3）</w:t>
      </w:r>
    </w:p>
    <w:p>
      <w:pPr>
        <w:spacing w:lineRule="auto" w:line="240" w:after="120" w:before="40"/>
        <w:ind/>
        <w:jc w:val="center"/>
      </w:pPr>
      <w:r>
        <w:drawing>
          <wp:inline xmlns:a="http://schemas.openxmlformats.org/drawingml/2006/main" xmlns:pic="http://schemas.openxmlformats.org/drawingml/2006/picture">
            <wp:extent cx="4500000" cy="628000"/>
            <wp:docPr id="7" name="Picture 7"/>
            <wp:cNvGraphicFramePr>
              <a:graphicFrameLocks noChangeAspect="1"/>
            </wp:cNvGraphicFramePr>
            <a:graphic>
              <a:graphicData uri="http://schemas.openxmlformats.org/drawingml/2006/picture">
                <pic:pic>
                  <pic:nvPicPr>
                    <pic:cNvPr id="0" name="eq_2-3.png"/>
                    <pic:cNvPicPr/>
                  </pic:nvPicPr>
                  <pic:blipFill>
                    <a:blip r:embed="rId18"/>
                    <a:stretch>
                      <a:fillRect/>
                    </a:stretch>
                  </pic:blipFill>
                  <pic:spPr>
                    <a:xfrm>
                      <a:off x="0" y="0"/>
                      <a:ext cx="4500000" cy="628000"/>
                    </a:xfrm>
                    <a:prstGeom prst="rect"/>
                  </pic:spPr>
                </pic:pic>
              </a:graphicData>
            </a:graphic>
          </wp:inline>
        </w:drawing>
      </w:r>
    </w:p>
    <w:p>
      <w:pPr>
        <w:spacing w:lineRule="exact" w:line="400" w:after="120"/>
        <w:ind/>
        <w:jc w:val="center"/>
      </w:pPr>
      <w:r>
        <w:rPr>
          <w:b w:val="0"/>
          <w:sz w:val="24"/>
          <w:rFonts w:eastAsia="宋体" w:ascii="Times New Roman" w:hAnsi="Times New Roman"/>
        </w:rPr>
        <w:t>式（2-4）</w:t>
      </w:r>
    </w:p>
    <w:p>
      <w:pPr>
        <w:spacing w:lineRule="auto" w:line="240" w:after="120" w:before="40"/>
        <w:ind/>
        <w:jc w:val="center"/>
      </w:pPr>
      <w:r>
        <w:drawing>
          <wp:inline xmlns:a="http://schemas.openxmlformats.org/drawingml/2006/main" xmlns:pic="http://schemas.openxmlformats.org/drawingml/2006/picture">
            <wp:extent cx="4500000" cy="729640"/>
            <wp:docPr id="8" name="Picture 8"/>
            <wp:cNvGraphicFramePr>
              <a:graphicFrameLocks noChangeAspect="1"/>
            </wp:cNvGraphicFramePr>
            <a:graphic>
              <a:graphicData uri="http://schemas.openxmlformats.org/drawingml/2006/picture">
                <pic:pic>
                  <pic:nvPicPr>
                    <pic:cNvPr id="0" name="eq_2-4.png"/>
                    <pic:cNvPicPr/>
                  </pic:nvPicPr>
                  <pic:blipFill>
                    <a:blip r:embed="rId19"/>
                    <a:stretch>
                      <a:fillRect/>
                    </a:stretch>
                  </pic:blipFill>
                  <pic:spPr>
                    <a:xfrm>
                      <a:off x="0" y="0"/>
                      <a:ext cx="4500000" cy="729640"/>
                    </a:xfrm>
                    <a:prstGeom prst="rect"/>
                  </pic:spPr>
                </pic:pic>
              </a:graphicData>
            </a:graphic>
          </wp:inline>
        </w:drawing>
      </w:r>
    </w:p>
    <w:p>
      <w:pPr>
        <w:spacing w:lineRule="exact" w:line="400" w:after="120"/>
        <w:ind w:firstLine="420"/>
      </w:pPr>
      <w:r>
        <w:rPr>
          <w:b w:val="0"/>
          <w:sz w:val="24"/>
          <w:rFonts w:eastAsia="宋体" w:ascii="Times New Roman" w:hAnsi="Times New Roman"/>
        </w:rPr>
        <w:t>其中，Omega表示障碍区及其安全外扩区域，s_min表示测试点最小中心距，cap(e)表示网格边或Tile通道容量，n_e表示当前占用该通道的网络数量。上述公式将覆盖率、布通率、面积占比和合法性违规数统一到同一评价体系中，便于后续实验直接对应。</w:t>
      </w:r>
    </w:p>
    <w:p w14:paraId="462DD333">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设金手指端子集合为P={p1,p2,...,pn}，测试点候选集合为C={c1,c2,...,cm}。布点任务是在候选集合中为每个端子选择一个测试点，使得测试点不落入障碍区，任意两个测试点之间满足最小间距要求，并尽可能降低尾板占用面积、端子到测试点的距离以及局部拥挤程度。若用xi表示第i个端子选择的候选点，则布点目标可写为Jp=wdD+waA+wcC+wpP，其中D为端子到测试点的距离或预估路径长度，A为测试点包围盒面积占比，C为候选点所在Tile的拥塞预测值，P为规则违规惩罚。由于候选点数量和端子数量均随案例规模增加，该问题属于典型的离散组合优化问题。</w:t>
      </w:r>
    </w:p>
    <w:p w14:paraId="5A789D24">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布线任务是在网格图G=(V,E)上寻找每个端子到对应测试点的路径。节点V表示可走线网格点，边E表示相邻网格点之间的水平或垂直连线。障碍区域中的节点被删除，边界外节点不可访问。借鉴网络流和合法化布线文献，本文把每条网格边或Tile边看作具有有限容量的通道，容量可由可用宽度、线宽、线距和已占用数量共同决定；当通道占用接近容量时，后续路径的通过代价随之增加。对于多层尾板，可以通过过孔或层间分配缓解交叉冲突；本文原型采用两层可合法化口径，障碍为硬约束，不同网络之间允许在后续层分配中处理交叉，算法重点验证测试点位置、障碍绕行和路径可达性。</w:t>
      </w:r>
    </w:p>
    <w:p w14:paraId="7272996F">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综合布点与布线后，评价函数由测试覆盖率、布通率、尾板面积占比、总线长、违规数和运行时间组成。测试覆盖率衡量已放置测试点的端子比例，布通率衡量成功生成路径的网络比例，面积占比衡量测试点包围盒相对于尾板面积的比例，总线长反映布线路径经济性，违规数用于记录未布点、未布通或点间距不足等问题。该评价体系既对应毕业设计任务书中的量化目标，也便于与人工或规则基线方案进行对比。</w:t>
      </w:r>
    </w:p>
    <w:p w14:paraId="010C369A">
      <w:pPr>
        <w:pStyle w:val="4"/>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2.3 基于Tile和网络流思想的尾板等效建模</w:t>
      </w:r>
    </w:p>
    <w:p w14:paraId="79D24F72">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为使布线约束具有更明确的理论来源，本文在原网格模型之外补充Tile等效建模。具体做法是将尾板可用区域按照障碍边界、金手指投影范围和测试点候选带划分为若干矩形或近似矩形的子区域，每个子区域作为图中的节点，相邻子区域之间的公共边作为图中的边。边的容量由可用宽度、线宽线距和已占用路径数量共同决定，容量越小表示该通道越容易成为拥塞热点。</w:t>
      </w:r>
    </w:p>
    <w:p w14:paraId="039AF4BD">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该建模并不要求在本科原型中完整求解最大流或最小费用最大流，而是把网络流的“容量—需求—拥塞”思想转化为路径搜索的代价项。对于金手指测试尾板，端子通常集中在板边，测试点分布在尾板内部，实际布线类似从密集边缘向内部测试区域的逃逸过程。因此，本文将金手指边缘附近的Tile视为高需求区域，将障碍区附近或可用宽度较窄的Tile视为低容量区域，在A*搜索和拥塞重布线时对其赋予更高代价。</w:t>
      </w:r>
    </w:p>
    <w:p w14:paraId="0EB062E1">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与单纯网格化相比，Tile模型的作用在于从宏观层面判断“哪些区域适合集中走线、哪些区域应当提前避让”；与完整网络流算法相比，本文的实现更加轻量，能够直接服务于C++命令行原型。这样既保留了网络流建模的理论解释力，也避免了在毕业设计阶段引入过重的优化求解器。</w:t>
      </w:r>
    </w:p>
    <w:p w14:paraId="4713149E">
      <w:pPr>
        <w:pStyle w:val="4"/>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2.4 约束优先级与合法性判定</w:t>
      </w:r>
    </w:p>
    <w:p w14:paraId="4224FB9A">
      <w:pPr>
        <w:spacing w:before="120" w:after="80" w:line="320" w:lineRule="exact"/>
        <w:jc w:val="center"/>
        <w:rPr>
          <w:color w:val="000000" w:themeColor="text1"/>
          <w14:textFill>
            <w14:solidFill>
              <w14:schemeClr w14:val="tx1"/>
            </w14:solidFill>
          </w14:textFill>
        </w:rPr>
      </w:pPr>
      <w:r>
        <w:rPr>
          <w:rFonts w:ascii="Times New Roman" w:hAnsi="Times New Roman" w:eastAsia="宋体"/>
          <w:color w:val="000000" w:themeColor="text1"/>
          <w:sz w:val="21"/>
          <w14:textFill>
            <w14:solidFill>
              <w14:schemeClr w14:val="tx1"/>
            </w14:solidFill>
          </w14:textFill>
        </w:rPr>
        <w:t>表 2-2 约束优先级与算法处理方式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358"/>
      </w:tblGrid>
      <w:tr w14:paraId="7498D076">
        <w:trPr>
          <w:tblHeader/>
          <w:jc w:val="center"/>
        </w:trPr>
        <w:tc>
          <w:tcPr>
            <w:tcW w:w="2268" w:type="dxa"/>
            <w:vAlign w:val="center"/>
          </w:tcPr>
          <w:p w14:paraId="33D3D4CF">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约束层级</w:t>
            </w:r>
          </w:p>
        </w:tc>
        <w:tc>
          <w:tcPr>
            <w:tcW w:w="2268" w:type="dxa"/>
            <w:vAlign w:val="center"/>
          </w:tcPr>
          <w:p w14:paraId="52028C79">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约束内容</w:t>
            </w:r>
          </w:p>
        </w:tc>
        <w:tc>
          <w:tcPr>
            <w:tcW w:w="2268" w:type="dxa"/>
            <w:vAlign w:val="center"/>
          </w:tcPr>
          <w:p w14:paraId="0DF4A232">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处理方式</w:t>
            </w:r>
          </w:p>
        </w:tc>
        <w:tc>
          <w:tcPr>
            <w:tcW w:w="2268" w:type="dxa"/>
            <w:vAlign w:val="center"/>
          </w:tcPr>
          <w:p w14:paraId="4E275752">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在算法中的体现</w:t>
            </w:r>
          </w:p>
        </w:tc>
      </w:tr>
      <w:tr w14:paraId="1AF3383C">
        <w:trPr>
          <w:jc w:val="center"/>
        </w:trPr>
        <w:tc>
          <w:tcPr>
            <w:tcW w:w="2268" w:type="dxa"/>
            <w:vAlign w:val="center"/>
          </w:tcPr>
          <w:p w14:paraId="7548401E">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硬约束</w:t>
            </w:r>
          </w:p>
        </w:tc>
        <w:tc>
          <w:tcPr>
            <w:tcW w:w="2268" w:type="dxa"/>
            <w:vAlign w:val="center"/>
          </w:tcPr>
          <w:p w14:paraId="21307C7A">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尾板边界、障碍区、测试点最小间距</w:t>
            </w:r>
          </w:p>
        </w:tc>
        <w:tc>
          <w:tcPr>
            <w:tcW w:w="2268" w:type="dxa"/>
            <w:vAlign w:val="center"/>
          </w:tcPr>
          <w:p w14:paraId="33AF25CC">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不满足则直接剔除或判为违规</w:t>
            </w:r>
          </w:p>
        </w:tc>
        <w:tc>
          <w:tcPr>
            <w:tcW w:w="2268" w:type="dxa"/>
            <w:vAlign w:val="center"/>
          </w:tcPr>
          <w:p w14:paraId="73923D8D">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候选点过滤、A*不可访问节点、违规统计</w:t>
            </w:r>
          </w:p>
        </w:tc>
      </w:tr>
      <w:tr w14:paraId="5BBC7079">
        <w:trPr>
          <w:jc w:val="center"/>
        </w:trPr>
        <w:tc>
          <w:tcPr>
            <w:tcW w:w="2268" w:type="dxa"/>
            <w:vAlign w:val="center"/>
          </w:tcPr>
          <w:p w14:paraId="257ED0E8">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半硬约束</w:t>
            </w:r>
          </w:p>
        </w:tc>
        <w:tc>
          <w:tcPr>
            <w:tcW w:w="2268" w:type="dxa"/>
            <w:vAlign w:val="center"/>
          </w:tcPr>
          <w:p w14:paraId="28B84BE6">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布通率、端子覆盖率、路径可达性</w:t>
            </w:r>
          </w:p>
        </w:tc>
        <w:tc>
          <w:tcPr>
            <w:tcW w:w="2268" w:type="dxa"/>
            <w:vAlign w:val="center"/>
          </w:tcPr>
          <w:p w14:paraId="6C3F4DB0">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优先保证，失败时触发重选点或重布线</w:t>
            </w:r>
          </w:p>
        </w:tc>
        <w:tc>
          <w:tcPr>
            <w:tcW w:w="2268" w:type="dxa"/>
            <w:vAlign w:val="center"/>
          </w:tcPr>
          <w:p w14:paraId="4087C03E">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route_all与route_all_congestion_aware</w:t>
            </w:r>
          </w:p>
        </w:tc>
      </w:tr>
      <w:tr w14:paraId="46861014">
        <w:trPr>
          <w:jc w:val="center"/>
        </w:trPr>
        <w:tc>
          <w:tcPr>
            <w:tcW w:w="2268" w:type="dxa"/>
            <w:vAlign w:val="center"/>
          </w:tcPr>
          <w:p w14:paraId="111D5CF9">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软目标</w:t>
            </w:r>
          </w:p>
        </w:tc>
        <w:tc>
          <w:tcPr>
            <w:tcW w:w="2268" w:type="dxa"/>
            <w:vAlign w:val="center"/>
          </w:tcPr>
          <w:p w14:paraId="27F2CBEE">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面积占比、总线长、拥塞峰值、拥挤网格数量</w:t>
            </w:r>
          </w:p>
        </w:tc>
        <w:tc>
          <w:tcPr>
            <w:tcW w:w="2268" w:type="dxa"/>
            <w:vAlign w:val="center"/>
          </w:tcPr>
          <w:p w14:paraId="0BE01C41">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通过加权代价优化，不作为绝对淘汰条件</w:t>
            </w:r>
          </w:p>
        </w:tc>
        <w:tc>
          <w:tcPr>
            <w:tcW w:w="2268" w:type="dxa"/>
            <w:vAlign w:val="center"/>
          </w:tcPr>
          <w:p w14:paraId="460F5292">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PSO-Hanan目标函数、动态拥塞代价</w:t>
            </w:r>
          </w:p>
        </w:tc>
      </w:tr>
      <w:tr w14:paraId="0A0F349B">
        <w:trPr>
          <w:jc w:val="center"/>
        </w:trPr>
        <w:tc>
          <w:tcPr>
            <w:tcW w:w="2268" w:type="dxa"/>
            <w:vAlign w:val="center"/>
          </w:tcPr>
          <w:p w14:paraId="544D51C9">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工程扩展约束</w:t>
            </w:r>
          </w:p>
        </w:tc>
        <w:tc>
          <w:tcPr>
            <w:tcW w:w="2268" w:type="dxa"/>
            <w:vAlign w:val="center"/>
          </w:tcPr>
          <w:p w14:paraId="48BC3708">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过孔数量、层分配、差分等长、阻抗控制</w:t>
            </w:r>
          </w:p>
        </w:tc>
        <w:tc>
          <w:tcPr>
            <w:tcW w:w="2268" w:type="dxa"/>
            <w:vAlign w:val="center"/>
          </w:tcPr>
          <w:p w14:paraId="6F41C897">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本文作为展望保留接口</w:t>
            </w:r>
          </w:p>
        </w:tc>
        <w:tc>
          <w:tcPr>
            <w:tcW w:w="2268" w:type="dxa"/>
            <w:vAlign w:val="center"/>
          </w:tcPr>
          <w:p w14:paraId="5D546406">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后续多层合法化模块</w:t>
            </w:r>
          </w:p>
        </w:tc>
      </w:tr>
    </w:tbl>
    <w:p w14:paraId="5FADF392">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将约束划分为硬约束、半硬约束和软目标后，论文中的算法逻辑更加清晰：候选点生成阶段首先消除硬约束冲突，布点优化阶段在覆盖率和可达性不下降的前提下压缩面积，布线阶段再根据拥塞信息进行路径修正。这种写法能够避免“所有指标同等重要”带来的理论模糊，也便于在实验章节解释为什么拥塞重布线会允许线长小幅增加。</w:t>
      </w:r>
    </w:p>
    <w:p w14:paraId="5D21B0CF">
      <w:pPr>
        <w:pStyle w:val="4"/>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2.5 文献理论到本文模型的转化</w:t>
      </w:r>
    </w:p>
    <w:p w14:paraId="60AA305B">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根据开题报告和阶段性报告，本文原计划同时考虑K-means聚类、禁忌搜索、改进Lee算法、线性规划合法化和可视化展示。结合当前代码实现情况与相关文献，论文将上述技术路线重新整理为“可实现优先、理论可追溯、扩展接口清晰”的模型体系：当前实现的部分包括候选点生成、布点优化、A*布线、拥塞统计和SVG/CSV输出；暂未完整实现的Gurobi线性规划、Qt交互界面和深度学习训练模块，均在模型中保留为后续扩展接口。这样的处理能够避免论文把未完成模块写成已实现成果，同时也能体现开题报告中多类理论方法对本文方案设计的支撑作用。</w:t>
      </w:r>
    </w:p>
    <w:p w14:paraId="0236A882">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在具体转化上，网络流文献中的容量思想被转化为Tile拥塞值；蚁群算法中的信息素更新被转化为网格占用次数及其动态惩罚；领域模型中的布线语义被转化为“区域—方向—通道容量”的解释框架；线性规划合法化文献中的约束处理被转化为硬约束、半硬约束和软目标三层规则；DeepTPI、NS-Place、DREAMPlace以及机器学习综述文献则用于说明未来可把候选点选择和线序决策进一步建模为图学习或强化学习问题</w:t>
      </w:r>
      <w:r>
        <w:rPr>
          <w:rFonts w:ascii="Times New Roman" w:hAnsi="Times New Roman" w:eastAsia="宋体"/>
          <w:color w:val="000000" w:themeColor="text1"/>
          <w:sz w:val="24"/>
          <w:vertAlign w:val="superscript"/>
          <w14:textFill>
            <w14:solidFill>
              <w14:schemeClr w14:val="tx1"/>
            </w14:solidFill>
          </w14:textFill>
        </w:rPr>
        <w:t>[2][6-7][12]</w:t>
      </w:r>
      <w:r>
        <w:rPr>
          <w:rFonts w:ascii="Times New Roman" w:hAnsi="Times New Roman" w:eastAsia="宋体"/>
          <w:color w:val="000000" w:themeColor="text1"/>
          <w:sz w:val="24"/>
          <w14:textFill>
            <w14:solidFill>
              <w14:schemeClr w14:val="tx1"/>
            </w14:solidFill>
          </w14:textFill>
        </w:rPr>
        <w:t>。</w:t>
      </w:r>
    </w:p>
    <w:p w14:paraId="49E23599">
      <w:pPr>
        <w:spacing w:before="120" w:after="80" w:line="320" w:lineRule="exact"/>
        <w:jc w:val="center"/>
        <w:rPr>
          <w:color w:val="000000" w:themeColor="text1"/>
          <w14:textFill>
            <w14:solidFill>
              <w14:schemeClr w14:val="tx1"/>
            </w14:solidFill>
          </w14:textFill>
        </w:rPr>
      </w:pPr>
      <w:r>
        <w:rPr>
          <w:rFonts w:ascii="Times New Roman" w:hAnsi="Times New Roman" w:eastAsia="宋体"/>
          <w:color w:val="000000" w:themeColor="text1"/>
          <w:sz w:val="21"/>
          <w14:textFill>
            <w14:solidFill>
              <w14:schemeClr w14:val="tx1"/>
            </w14:solidFill>
          </w14:textFill>
        </w:rPr>
        <w:t>表 2-3 文献方法到算法模块的转化关系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3F520F4E">
        <w:trPr>
          <w:tblHeader/>
          <w:jc w:val="center"/>
        </w:trPr>
        <w:tc>
          <w:tcPr>
            <w:tcW w:w="2268" w:type="dxa"/>
            <w:vAlign w:val="center"/>
          </w:tcPr>
          <w:p w14:paraId="56C0F61B">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文献方法</w:t>
            </w:r>
          </w:p>
        </w:tc>
        <w:tc>
          <w:tcPr>
            <w:tcW w:w="2268" w:type="dxa"/>
            <w:vAlign w:val="center"/>
          </w:tcPr>
          <w:p w14:paraId="5139A652">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原始应用对象</w:t>
            </w:r>
          </w:p>
        </w:tc>
        <w:tc>
          <w:tcPr>
            <w:tcW w:w="2268" w:type="dxa"/>
            <w:vAlign w:val="center"/>
          </w:tcPr>
          <w:p w14:paraId="7ED6E116">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本文转化后的模块</w:t>
            </w:r>
          </w:p>
        </w:tc>
        <w:tc>
          <w:tcPr>
            <w:tcW w:w="2268" w:type="dxa"/>
            <w:vAlign w:val="center"/>
          </w:tcPr>
          <w:p w14:paraId="663056DE">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转化原则</w:t>
            </w:r>
          </w:p>
        </w:tc>
      </w:tr>
      <w:tr w14:paraId="576032E9">
        <w:trPr>
          <w:jc w:val="center"/>
        </w:trPr>
        <w:tc>
          <w:tcPr>
            <w:tcW w:w="2268" w:type="dxa"/>
            <w:vAlign w:val="center"/>
          </w:tcPr>
          <w:p w14:paraId="5F037856">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测试点插入TPI</w:t>
            </w:r>
          </w:p>
        </w:tc>
        <w:tc>
          <w:tcPr>
            <w:tcW w:w="2268" w:type="dxa"/>
            <w:vAlign w:val="center"/>
          </w:tcPr>
          <w:p w14:paraId="47C694C2">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IC逻辑节点</w:t>
            </w:r>
          </w:p>
        </w:tc>
        <w:tc>
          <w:tcPr>
            <w:tcW w:w="2268" w:type="dxa"/>
            <w:vAlign w:val="center"/>
          </w:tcPr>
          <w:p w14:paraId="66B33CFC">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金手指到测试点的候选点选择</w:t>
            </w:r>
          </w:p>
        </w:tc>
        <w:tc>
          <w:tcPr>
            <w:tcW w:w="2268" w:type="dxa"/>
            <w:vAlign w:val="center"/>
          </w:tcPr>
          <w:p w14:paraId="43580ECE">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从逻辑可测性转为几何可接触性和覆盖率</w:t>
            </w:r>
          </w:p>
        </w:tc>
      </w:tr>
      <w:tr w14:paraId="54E5E88D">
        <w:trPr>
          <w:jc w:val="center"/>
        </w:trPr>
        <w:tc>
          <w:tcPr>
            <w:tcW w:w="2268" w:type="dxa"/>
            <w:vAlign w:val="center"/>
          </w:tcPr>
          <w:p w14:paraId="66A18C08">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网络流建模</w:t>
            </w:r>
          </w:p>
        </w:tc>
        <w:tc>
          <w:tcPr>
            <w:tcW w:w="2268" w:type="dxa"/>
            <w:vAlign w:val="center"/>
          </w:tcPr>
          <w:p w14:paraId="66911C91">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逃逸/通道布线容量规划</w:t>
            </w:r>
          </w:p>
        </w:tc>
        <w:tc>
          <w:tcPr>
            <w:tcW w:w="2268" w:type="dxa"/>
            <w:vAlign w:val="center"/>
          </w:tcPr>
          <w:p w14:paraId="062C1AE9">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Tile容量、拥塞矩阵和全局引导层</w:t>
            </w:r>
          </w:p>
        </w:tc>
        <w:tc>
          <w:tcPr>
            <w:tcW w:w="2268" w:type="dxa"/>
            <w:vAlign w:val="center"/>
          </w:tcPr>
          <w:p w14:paraId="231AC4EB">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保留容量解释，不引入重型求解器</w:t>
            </w:r>
          </w:p>
        </w:tc>
      </w:tr>
      <w:tr w14:paraId="201D9313">
        <w:trPr>
          <w:jc w:val="center"/>
        </w:trPr>
        <w:tc>
          <w:tcPr>
            <w:tcW w:w="2268" w:type="dxa"/>
            <w:vAlign w:val="center"/>
          </w:tcPr>
          <w:p w14:paraId="68CC4559">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蚁群信息素</w:t>
            </w:r>
          </w:p>
        </w:tc>
        <w:tc>
          <w:tcPr>
            <w:tcW w:w="2268" w:type="dxa"/>
            <w:vAlign w:val="center"/>
          </w:tcPr>
          <w:p w14:paraId="3986D771">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多层PCB路径搜索</w:t>
            </w:r>
          </w:p>
        </w:tc>
        <w:tc>
          <w:tcPr>
            <w:tcW w:w="2268" w:type="dxa"/>
            <w:vAlign w:val="center"/>
          </w:tcPr>
          <w:p w14:paraId="2CE282C8">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动态拥塞代价和拆线重布队列</w:t>
            </w:r>
          </w:p>
        </w:tc>
        <w:tc>
          <w:tcPr>
            <w:tcW w:w="2268" w:type="dxa"/>
            <w:vAlign w:val="center"/>
          </w:tcPr>
          <w:p w14:paraId="0E19826D">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把随机搜索简化为确定性A*代价修正</w:t>
            </w:r>
          </w:p>
        </w:tc>
      </w:tr>
      <w:tr w14:paraId="6D59CC68">
        <w:trPr>
          <w:jc w:val="center"/>
        </w:trPr>
        <w:tc>
          <w:tcPr>
            <w:tcW w:w="2268" w:type="dxa"/>
            <w:vAlign w:val="center"/>
          </w:tcPr>
          <w:p w14:paraId="1207DD5A">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线性规划合法化</w:t>
            </w:r>
          </w:p>
        </w:tc>
        <w:tc>
          <w:tcPr>
            <w:tcW w:w="2268" w:type="dxa"/>
            <w:vAlign w:val="center"/>
          </w:tcPr>
          <w:p w14:paraId="21CC960A">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复杂设计规则修正</w:t>
            </w:r>
          </w:p>
        </w:tc>
        <w:tc>
          <w:tcPr>
            <w:tcW w:w="2268" w:type="dxa"/>
            <w:vAlign w:val="center"/>
          </w:tcPr>
          <w:p w14:paraId="1A7FDA94">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硬约束过滤与违规统计</w:t>
            </w:r>
          </w:p>
        </w:tc>
        <w:tc>
          <w:tcPr>
            <w:tcW w:w="2268" w:type="dxa"/>
            <w:vAlign w:val="center"/>
          </w:tcPr>
          <w:p w14:paraId="2A0635F5">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当前不调用LP求解器，保留合法化接口</w:t>
            </w:r>
          </w:p>
        </w:tc>
      </w:tr>
      <w:tr w14:paraId="4D441180">
        <w:trPr>
          <w:jc w:val="center"/>
        </w:trPr>
        <w:tc>
          <w:tcPr>
            <w:tcW w:w="2268" w:type="dxa"/>
            <w:vAlign w:val="center"/>
          </w:tcPr>
          <w:p w14:paraId="50852B66">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领域模型/Transformer</w:t>
            </w:r>
          </w:p>
        </w:tc>
        <w:tc>
          <w:tcPr>
            <w:tcW w:w="2268" w:type="dxa"/>
            <w:vAlign w:val="center"/>
          </w:tcPr>
          <w:p w14:paraId="7C73EC7A">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学习人工布线范式</w:t>
            </w:r>
          </w:p>
        </w:tc>
        <w:tc>
          <w:tcPr>
            <w:tcW w:w="2268" w:type="dxa"/>
            <w:vAlign w:val="center"/>
          </w:tcPr>
          <w:p w14:paraId="22AAF225">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区域语义、线序排序和后续学习接口</w:t>
            </w:r>
          </w:p>
        </w:tc>
        <w:tc>
          <w:tcPr>
            <w:tcW w:w="2268" w:type="dxa"/>
            <w:vAlign w:val="center"/>
          </w:tcPr>
          <w:p w14:paraId="56ECEE5F">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当前作为理论支撑与未来扩展</w:t>
            </w:r>
          </w:p>
        </w:tc>
      </w:tr>
    </w:tbl>
    <w:p w14:paraId="79B032F1">
      <w:pPr>
        <w:pStyle w:val="3"/>
        <w:pageBreakBefore/>
        <w:spacing w:before="240" w:after="12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3 测试点布点算法设计</w:t>
      </w:r>
    </w:p>
    <w:p w14:paraId="0491675E">
      <w:pPr>
        <w:pStyle w:val="4"/>
        <w:spacing w:before="16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3.1 候选点生成</w:t>
      </w:r>
    </w:p>
    <w:p w14:paraId="7F1972F0">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候选点生成是布点算法的基础。本文根据尾板可用区域和网格步长生成规则网格点，随后删除落入障碍区域或距离障碍过近的点。规则网格的优点是实现简单、便于与制造规则对齐，也方便后续A*布线使用同一坐标系统。为了避免测试点靠近板边导致探针接触不稳定，候选点生成时保留一定边界余量；为了避免障碍边缘产生潜在工艺冲突，障碍矩形按照线距参数进行外扩后再进行过滤。</w:t>
      </w:r>
    </w:p>
    <w:p w14:paraId="5E06443D">
      <w:pPr>
        <w:pStyle w:val="4"/>
        <w:spacing w:before="16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3.2 K-means初始分组</w:t>
      </w:r>
    </w:p>
    <w:p w14:paraId="05800938">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金手指端子呈线性排列，若直接逐点贪心选择最近候选点，容易在某些区域形成拥挤。本文借鉴K-means聚类思想，将金手指横向分布划分为若干簇，并为不同簇分配不同的目标纵向带。这样可以在保持端子到测试点距离较短的同时，使测试点沿尾板纵深方向展开，减少同一行测试点过密造成的间距冲突。由于端子坐标已经近似一维均匀分布，原型中采用基于横向位置的快速分组，不额外引入迭代聚类库，保证程序轻量可复现。</w:t>
      </w:r>
    </w:p>
    <w:p w14:paraId="7C397D67">
      <w:pPr>
        <w:pStyle w:val="4"/>
        <w:spacing w:before="16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3.3 禁忌搜索局部优化</w:t>
      </w:r>
    </w:p>
    <w:p w14:paraId="0723035D">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初始布点完成后，算法采用轻量禁忌搜索进行局部优化。对每个测试点，在其邻域候选点中寻找能够降低端子距离和纵向代价的位置，同时检查与其他测试点的最小间距。被替换掉的位置在短期内加入禁忌表，避免算法在相邻位置之间来回震荡。该策略没有追求严格全局最优，而是面向工程原型选择可解释、易实现且收敛较快的局部改良方式。实验表明，在五类案例中，该方法能够显著降低测试点包围盒面积，并保持100%布点覆盖。</w:t>
      </w:r>
    </w:p>
    <w:p w14:paraId="356FB162">
      <w:pPr>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579745" cy="2417445"/>
            <wp:effectExtent l="0" t="0" r="8255" b="209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580000" cy="2418000"/>
                    </a:xfrm>
                    <a:prstGeom prst="rect">
                      <a:avLst/>
                    </a:prstGeom>
                  </pic:spPr>
                </pic:pic>
              </a:graphicData>
            </a:graphic>
          </wp:inline>
        </w:drawing>
      </w:r>
    </w:p>
    <w:p w14:paraId="0A7F5C6F">
      <w:pPr>
        <w:spacing w:before="120" w:after="80" w:line="320" w:lineRule="exact"/>
        <w:jc w:val="center"/>
        <w:rPr>
          <w:color w:val="000000" w:themeColor="text1"/>
          <w14:textFill>
            <w14:solidFill>
              <w14:schemeClr w14:val="tx1"/>
            </w14:solidFill>
          </w14:textFill>
        </w:rPr>
      </w:pPr>
      <w:r>
        <w:rPr>
          <w:rFonts w:ascii="Times New Roman" w:hAnsi="Times New Roman" w:eastAsia="宋体"/>
          <w:color w:val="000000" w:themeColor="text1"/>
          <w:sz w:val="21"/>
          <w14:textFill>
            <w14:solidFill>
              <w14:schemeClr w14:val="tx1"/>
            </w14:solidFill>
          </w14:textFill>
        </w:rPr>
        <w:t>图 3-1 布点布线协同优化流程</w:t>
      </w:r>
    </w:p>
    <w:p w14:paraId="37770F2E">
      <w:pPr>
        <w:pStyle w:val="4"/>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3.4 改进后的布点目标函数与步骤</w:t>
      </w:r>
    </w:p>
    <w:p>
      <w:pPr>
        <w:spacing w:lineRule="exact" w:line="400" w:after="120"/>
        <w:ind/>
        <w:jc w:val="center"/>
      </w:pPr>
      <w:r>
        <w:rPr>
          <w:b w:val="0"/>
          <w:sz w:val="24"/>
          <w:rFonts w:eastAsia="宋体" w:ascii="Times New Roman" w:hAnsi="Times New Roman"/>
        </w:rPr>
        <w:t>式（3-1）</w:t>
      </w:r>
    </w:p>
    <w:p>
      <w:pPr>
        <w:spacing w:lineRule="auto" w:line="240" w:after="120" w:before="40"/>
        <w:ind/>
        <w:jc w:val="center"/>
      </w:pPr>
      <w:r>
        <w:drawing>
          <wp:inline xmlns:a="http://schemas.openxmlformats.org/drawingml/2006/main" xmlns:pic="http://schemas.openxmlformats.org/drawingml/2006/picture">
            <wp:extent cx="3780000" cy="332598"/>
            <wp:docPr id="9" name="Picture 9"/>
            <wp:cNvGraphicFramePr>
              <a:graphicFrameLocks noChangeAspect="1"/>
            </wp:cNvGraphicFramePr>
            <a:graphic>
              <a:graphicData uri="http://schemas.openxmlformats.org/drawingml/2006/picture">
                <pic:pic>
                  <pic:nvPicPr>
                    <pic:cNvPr id="0" name="eq_3-1.png"/>
                    <pic:cNvPicPr/>
                  </pic:nvPicPr>
                  <pic:blipFill>
                    <a:blip r:embed="rId20"/>
                    <a:stretch>
                      <a:fillRect/>
                    </a:stretch>
                  </pic:blipFill>
                  <pic:spPr>
                    <a:xfrm>
                      <a:off x="0" y="0"/>
                      <a:ext cx="3780000" cy="332598"/>
                    </a:xfrm>
                    <a:prstGeom prst="rect"/>
                  </pic:spPr>
                </pic:pic>
              </a:graphicData>
            </a:graphic>
          </wp:inline>
        </w:drawing>
      </w:r>
    </w:p>
    <w:p>
      <w:pPr>
        <w:spacing w:lineRule="exact" w:line="400" w:after="120"/>
        <w:ind w:firstLine="420"/>
      </w:pPr>
      <w:r>
        <w:rPr>
          <w:b w:val="0"/>
          <w:sz w:val="24"/>
          <w:rFonts w:eastAsia="宋体" w:ascii="Times New Roman" w:hAnsi="Times New Roman"/>
        </w:rPr>
        <w:t>式（3-1）中，D表示端子到测试点的预估路径长度，A表示测试点包围盒面积占比，C表示候选点所在Tile的拥塞预测，P表示点间距、障碍和边界违规惩罚。由于P的权重最高，算法首先保证合法性，再在可行解中优化面积和线长。</w:t>
      </w:r>
    </w:p>
    <w:p w14:paraId="556F74B8">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为体现布点阶段与布线阶段的耦合关系，本文将测试点选择的评价函数写成多目标加权形式：J = wd·D + wa·A + wc·C + wp·P。其中，D表示金手指到测试点的曼哈顿距离或预估布线路径长度，A表示测试点包围盒面积占比，C表示候选点所在Tile的拥塞预测值，P表示违反点间距、障碍避让和边界余量等规则的罚函数。wd、wa、wc和wp分别为距离、面积、拥塞和规则惩罚权重。</w:t>
      </w:r>
    </w:p>
    <w:p w14:paraId="3795713F">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在实际实现中，P属于高权重惩罚项，只要候选点违反硬约束就直接剔除；D和A用于保证点位紧凑，C用于避免把过多测试点压到同一条纵向通道。这样，K-means分组不再只是简单的几何分组，而是为后续PSO-Hanan和A*布线提供初始空间分配；禁忌搜索也不只移动单个测试点，而是在保持点间距合法的前提下寻找面积、线长和拥塞三者更平衡的位置。</w:t>
      </w:r>
    </w:p>
    <w:p w14:paraId="02DF6284">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改进后的布点步骤为：首先根据尾板边界、障碍外扩和网格步长生成候选点；其次按照金手指横向位置进行分组并设置不同纵向目标带；再次根据目标函数选取初始测试点；然后在邻域候选点中执行禁忌局部搜索；最后调用A*快速评估可达性，若某些点位导致路径不可达或拥塞过高，则返回候选集重新调整。该流程使布点算法从“只看点位合法”提升为“同时看点位、路径和通道容量”。</w:t>
      </w:r>
    </w:p>
    <w:p w14:paraId="028A24D0">
      <w:pPr>
        <w:pStyle w:val="3"/>
        <w:pageBreakBefore/>
        <w:spacing w:before="240" w:after="12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4 布线算法与协同优化</w:t>
      </w:r>
    </w:p>
    <w:p w14:paraId="181211D7">
      <w:pPr>
        <w:pStyle w:val="4"/>
        <w:spacing w:before="16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4.1 A*网格布线</w:t>
      </w:r>
    </w:p>
    <w:p w14:paraId="22BDA698">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A*算法是在Dijkstra最短路径算法基础上加入启发函数的图搜索算法。对于PCB尾板的网格布线，起点为金手指端子所在网格，终点为对应测试点网格，代价函数由已走路径长度和到目标点的曼哈顿距离估计组成。由于本文主要处理规则矩形区域和矩形障碍，曼哈顿距离能够较好地引导搜索方向，并明显减少无效扩展。算法搜索到终点后通过父节点表回溯路径，输出由网格点序列组成的布线路径。</w:t>
      </w:r>
    </w:p>
    <w:p w14:paraId="5B689DFB">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在障碍处理方面，程序将障碍矩形及其线距外扩区域视为不可访问节点。这样可以模拟固定安装孔、夹具避让区或已有器件占位。对于不同网络之间的交叉，本文采用测试尾板常见的多层合法化假设：原型阶段允许不同网络在平面投影中交叉，后续可通过层分配和过孔处理完成实际制造合法化。该处理使实验重点集中在布点位置是否合理、障碍是否可绕行和整体线长是否改善，也避免单层顺序布线对先后顺序过度敏感。</w:t>
      </w:r>
    </w:p>
    <w:p w14:paraId="352D765D">
      <w:pPr>
        <w:pStyle w:val="4"/>
        <w:spacing w:before="16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4.2 布点布线协同优化机制</w:t>
      </w:r>
    </w:p>
    <w:p w14:paraId="7D544C74">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布点和布线不是两个完全独立的阶段。测试点离金手指过近会降低面积占比，但可能导致局部线束拥挤；测试点分散可以提高布线空间，却会增大尾板面积和总线长。本文采用代价反馈思路，将端子距离、测试点纵向位置、点间距和布线路径长度共同作为优化依据。实现中先完成布点并布线评估，再通过局部搜索降低代价。虽然原型没有实现复杂的全局重布线，但整体流程保留了协同优化接口，后续可加入网络流、线性规划或强化学习策略替换局部搜索模块。</w:t>
      </w:r>
    </w:p>
    <w:p w14:paraId="7C7C81AF">
      <w:pPr>
        <w:pStyle w:val="4"/>
        <w:spacing w:before="16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4.3 拥塞感知与拆线重布策略</w:t>
      </w:r>
    </w:p>
    <w:p>
      <w:pPr>
        <w:spacing w:lineRule="exact" w:line="400" w:after="120"/>
        <w:ind/>
        <w:jc w:val="center"/>
      </w:pPr>
      <w:r>
        <w:rPr>
          <w:b w:val="0"/>
          <w:sz w:val="24"/>
          <w:rFonts w:eastAsia="宋体" w:ascii="Times New Roman" w:hAnsi="Times New Roman"/>
        </w:rPr>
        <w:t>式（4-1）</w:t>
      </w:r>
    </w:p>
    <w:p>
      <w:pPr>
        <w:spacing w:lineRule="auto" w:line="240" w:after="120" w:before="40"/>
        <w:ind/>
        <w:jc w:val="center"/>
      </w:pPr>
      <w:r>
        <w:drawing>
          <wp:inline xmlns:a="http://schemas.openxmlformats.org/drawingml/2006/main" xmlns:pic="http://schemas.openxmlformats.org/drawingml/2006/picture">
            <wp:extent cx="4500000" cy="363178"/>
            <wp:docPr id="10" name="Picture 10"/>
            <wp:cNvGraphicFramePr>
              <a:graphicFrameLocks noChangeAspect="1"/>
            </wp:cNvGraphicFramePr>
            <a:graphic>
              <a:graphicData uri="http://schemas.openxmlformats.org/drawingml/2006/picture">
                <pic:pic>
                  <pic:nvPicPr>
                    <pic:cNvPr id="0" name="eq_4-1.png"/>
                    <pic:cNvPicPr/>
                  </pic:nvPicPr>
                  <pic:blipFill>
                    <a:blip r:embed="rId21"/>
                    <a:stretch>
                      <a:fillRect/>
                    </a:stretch>
                  </pic:blipFill>
                  <pic:spPr>
                    <a:xfrm>
                      <a:off x="0" y="0"/>
                      <a:ext cx="4500000" cy="363178"/>
                    </a:xfrm>
                    <a:prstGeom prst="rect"/>
                  </pic:spPr>
                </pic:pic>
              </a:graphicData>
            </a:graphic>
          </wp:inline>
        </w:drawing>
      </w:r>
    </w:p>
    <w:p>
      <w:pPr>
        <w:spacing w:lineRule="exact" w:line="400" w:after="120"/>
        <w:ind/>
        <w:jc w:val="center"/>
      </w:pPr>
      <w:r>
        <w:rPr>
          <w:b w:val="0"/>
          <w:sz w:val="24"/>
          <w:rFonts w:eastAsia="宋体" w:ascii="Times New Roman" w:hAnsi="Times New Roman"/>
        </w:rPr>
        <w:t>式（4-2）</w:t>
      </w:r>
    </w:p>
    <w:p>
      <w:pPr>
        <w:spacing w:lineRule="auto" w:line="240" w:after="120" w:before="40"/>
        <w:ind/>
        <w:jc w:val="center"/>
      </w:pPr>
      <w:r>
        <w:drawing>
          <wp:inline xmlns:a="http://schemas.openxmlformats.org/drawingml/2006/main" xmlns:pic="http://schemas.openxmlformats.org/drawingml/2006/picture">
            <wp:extent cx="3780000" cy="386859"/>
            <wp:docPr id="11" name="Picture 11"/>
            <wp:cNvGraphicFramePr>
              <a:graphicFrameLocks noChangeAspect="1"/>
            </wp:cNvGraphicFramePr>
            <a:graphic>
              <a:graphicData uri="http://schemas.openxmlformats.org/drawingml/2006/picture">
                <pic:pic>
                  <pic:nvPicPr>
                    <pic:cNvPr id="0" name="eq_4-2.png"/>
                    <pic:cNvPicPr/>
                  </pic:nvPicPr>
                  <pic:blipFill>
                    <a:blip r:embed="rId22"/>
                    <a:stretch>
                      <a:fillRect/>
                    </a:stretch>
                  </pic:blipFill>
                  <pic:spPr>
                    <a:xfrm>
                      <a:off x="0" y="0"/>
                      <a:ext cx="3780000" cy="386859"/>
                    </a:xfrm>
                    <a:prstGeom prst="rect"/>
                  </pic:spPr>
                </pic:pic>
              </a:graphicData>
            </a:graphic>
          </wp:inline>
        </w:drawing>
      </w:r>
    </w:p>
    <w:p>
      <w:pPr>
        <w:spacing w:lineRule="exact" w:line="400" w:after="120"/>
        <w:ind w:firstLine="420"/>
      </w:pPr>
      <w:r>
        <w:rPr>
          <w:b w:val="0"/>
          <w:sz w:val="24"/>
          <w:rFonts w:eastAsia="宋体" w:ascii="Times New Roman" w:hAnsi="Times New Roman"/>
        </w:rPr>
        <w:t>式（4-1）给出了拥塞感知A*的评价函数，式（4-2）给出了历史拥塞代价更新方式。rho用于控制历史信息衰减，Delta n_e表示本轮布线新增占用，alpha用于调节热点通道的绕行强度。</w:t>
      </w:r>
    </w:p>
    <w:p w14:paraId="217B8450">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参考网络流布线中对通道容量和拥塞区域的建模思想，本文在A*布线之后增加拥塞统计层。程序将每条成功路径投影到网格单元，统计单元被多少条网络经过，并形成拥塞峰值和拥挤网格数量两个指标。拥塞峰值反映局部最严重的线束重叠程度，拥挤网格数量反映拥塞区域的空间范围。该处理没有完整实现最大流或最小费用流求解，但吸收了网络流论文中“先压缩布线空间、再利用容量信息指导路径选择”的思路，适合在本科毕业设计原型中作为轻量可解释的工程化改进。</w:t>
      </w:r>
    </w:p>
    <w:p w14:paraId="47B41ADD">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参考蚁群算法中信息素矩阵和拥挤区域挥发的思想，本文将已布线路径视为历史信息素：某网格被越多网络经过，后续网络通过该网格的代价越高。不同于传统单纯A*只考虑距离和障碍，拥塞感知A*在代价函数中加入动态拥塞项，并按估计线长由长到短逐线布线。这样长路径优先占据较稳定的通道，短路径随后根据实时拥塞图进行绕行。该机制本质上是一种简化拆线重布：先由PSO-Hanan方案给出紧凑布点，再用动态拥塞代价重构路径，以少量线长增加换取局部拥堵缓解。</w:t>
      </w:r>
    </w:p>
    <w:p w14:paraId="79B7B12F">
      <w:pPr>
        <w:spacing w:before="120" w:after="80" w:line="320" w:lineRule="exact"/>
        <w:jc w:val="center"/>
        <w:rPr>
          <w:color w:val="000000" w:themeColor="text1"/>
          <w14:textFill>
            <w14:solidFill>
              <w14:schemeClr w14:val="tx1"/>
            </w14:solidFill>
          </w14:textFill>
        </w:rPr>
      </w:pPr>
      <w:r>
        <w:rPr>
          <w:rFonts w:ascii="Times New Roman" w:hAnsi="Times New Roman" w:eastAsia="宋体"/>
          <w:color w:val="000000" w:themeColor="text1"/>
          <w:sz w:val="21"/>
          <w14:textFill>
            <w14:solidFill>
              <w14:schemeClr w14:val="tx1"/>
            </w14:solidFill>
          </w14:textFill>
        </w:rPr>
        <w:t>表 4-1 拥塞感知布线模块说明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1"/>
        <w:gridCol w:w="2268"/>
        <w:gridCol w:w="1928"/>
        <w:gridCol w:w="2835"/>
      </w:tblGrid>
      <w:tr w14:paraId="00E60EBA">
        <w:trPr>
          <w:tblHeader/>
          <w:jc w:val="center"/>
        </w:trPr>
        <w:tc>
          <w:tcPr>
            <w:tcW w:w="1531" w:type="dxa"/>
            <w:shd w:val="clear" w:color="auto" w:fill="EAF2F8"/>
            <w:vAlign w:val="center"/>
          </w:tcPr>
          <w:p w14:paraId="17127345">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模块</w:t>
            </w:r>
          </w:p>
        </w:tc>
        <w:tc>
          <w:tcPr>
            <w:tcW w:w="2268" w:type="dxa"/>
            <w:shd w:val="clear" w:color="auto" w:fill="EAF2F8"/>
            <w:vAlign w:val="center"/>
          </w:tcPr>
          <w:p w14:paraId="636C31DD">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输入</w:t>
            </w:r>
          </w:p>
        </w:tc>
        <w:tc>
          <w:tcPr>
            <w:tcW w:w="1928" w:type="dxa"/>
            <w:shd w:val="clear" w:color="auto" w:fill="EAF2F8"/>
            <w:vAlign w:val="center"/>
          </w:tcPr>
          <w:p w14:paraId="65C7FA1C">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输出</w:t>
            </w:r>
          </w:p>
        </w:tc>
        <w:tc>
          <w:tcPr>
            <w:tcW w:w="2835" w:type="dxa"/>
            <w:shd w:val="clear" w:color="auto" w:fill="EAF2F8"/>
            <w:vAlign w:val="center"/>
          </w:tcPr>
          <w:p w14:paraId="52CCF3CD">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作用</w:t>
            </w:r>
          </w:p>
        </w:tc>
      </w:tr>
      <w:tr w14:paraId="049CB2E0">
        <w:trPr>
          <w:jc w:val="center"/>
        </w:trPr>
        <w:tc>
          <w:tcPr>
            <w:tcW w:w="1531" w:type="dxa"/>
            <w:vAlign w:val="center"/>
          </w:tcPr>
          <w:p w14:paraId="34250F7C">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候选生成</w:t>
            </w:r>
          </w:p>
        </w:tc>
        <w:tc>
          <w:tcPr>
            <w:tcW w:w="2268" w:type="dxa"/>
            <w:vAlign w:val="center"/>
          </w:tcPr>
          <w:p w14:paraId="4BF27604">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尾板尺寸、障碍区、网格步长</w:t>
            </w:r>
          </w:p>
        </w:tc>
        <w:tc>
          <w:tcPr>
            <w:tcW w:w="1928" w:type="dxa"/>
            <w:vAlign w:val="center"/>
          </w:tcPr>
          <w:p w14:paraId="77EFB56D">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可用候选点集合</w:t>
            </w:r>
          </w:p>
        </w:tc>
        <w:tc>
          <w:tcPr>
            <w:tcW w:w="2835" w:type="dxa"/>
            <w:vAlign w:val="center"/>
          </w:tcPr>
          <w:p w14:paraId="7886BE86">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提供满足基础规则的布点空间</w:t>
            </w:r>
          </w:p>
        </w:tc>
      </w:tr>
      <w:tr w14:paraId="40B17E5C">
        <w:trPr>
          <w:jc w:val="center"/>
        </w:trPr>
        <w:tc>
          <w:tcPr>
            <w:tcW w:w="1531" w:type="dxa"/>
            <w:vAlign w:val="center"/>
          </w:tcPr>
          <w:p w14:paraId="3D574515">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初始布点</w:t>
            </w:r>
          </w:p>
        </w:tc>
        <w:tc>
          <w:tcPr>
            <w:tcW w:w="2268" w:type="dxa"/>
            <w:vAlign w:val="center"/>
          </w:tcPr>
          <w:p w14:paraId="4F8C7A28">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金手指端子、候选点集合</w:t>
            </w:r>
          </w:p>
        </w:tc>
        <w:tc>
          <w:tcPr>
            <w:tcW w:w="1928" w:type="dxa"/>
            <w:vAlign w:val="center"/>
          </w:tcPr>
          <w:p w14:paraId="79A5EE5E">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测试点初始坐标</w:t>
            </w:r>
          </w:p>
        </w:tc>
        <w:tc>
          <w:tcPr>
            <w:tcW w:w="2835" w:type="dxa"/>
            <w:vAlign w:val="center"/>
          </w:tcPr>
          <w:p w14:paraId="38C33133">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快速获得完整可行解</w:t>
            </w:r>
          </w:p>
        </w:tc>
      </w:tr>
      <w:tr w14:paraId="16CC1D73">
        <w:trPr>
          <w:jc w:val="center"/>
        </w:trPr>
        <w:tc>
          <w:tcPr>
            <w:tcW w:w="1531" w:type="dxa"/>
            <w:vAlign w:val="center"/>
          </w:tcPr>
          <w:p w14:paraId="378248D0">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局部优化</w:t>
            </w:r>
          </w:p>
        </w:tc>
        <w:tc>
          <w:tcPr>
            <w:tcW w:w="2268" w:type="dxa"/>
            <w:vAlign w:val="center"/>
          </w:tcPr>
          <w:p w14:paraId="2D429570">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初始坐标、间距规则</w:t>
            </w:r>
          </w:p>
        </w:tc>
        <w:tc>
          <w:tcPr>
            <w:tcW w:w="1928" w:type="dxa"/>
            <w:vAlign w:val="center"/>
          </w:tcPr>
          <w:p w14:paraId="58D29CF7">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优化测试点坐标</w:t>
            </w:r>
          </w:p>
        </w:tc>
        <w:tc>
          <w:tcPr>
            <w:tcW w:w="2835" w:type="dxa"/>
            <w:vAlign w:val="center"/>
          </w:tcPr>
          <w:p w14:paraId="5C448C5F">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降低面积和线长代价</w:t>
            </w:r>
          </w:p>
        </w:tc>
      </w:tr>
      <w:tr w14:paraId="5F8E0052">
        <w:trPr>
          <w:jc w:val="center"/>
        </w:trPr>
        <w:tc>
          <w:tcPr>
            <w:tcW w:w="1531" w:type="dxa"/>
            <w:vAlign w:val="center"/>
          </w:tcPr>
          <w:p w14:paraId="344127A7">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A*布线</w:t>
            </w:r>
          </w:p>
        </w:tc>
        <w:tc>
          <w:tcPr>
            <w:tcW w:w="2268" w:type="dxa"/>
            <w:vAlign w:val="center"/>
          </w:tcPr>
          <w:p w14:paraId="73DC4C84">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端子、测试点、障碍区</w:t>
            </w:r>
          </w:p>
        </w:tc>
        <w:tc>
          <w:tcPr>
            <w:tcW w:w="1928" w:type="dxa"/>
            <w:vAlign w:val="center"/>
          </w:tcPr>
          <w:p w14:paraId="715B4891">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路径点序列</w:t>
            </w:r>
          </w:p>
        </w:tc>
        <w:tc>
          <w:tcPr>
            <w:tcW w:w="2835" w:type="dxa"/>
            <w:vAlign w:val="center"/>
          </w:tcPr>
          <w:p w14:paraId="4E254AD3">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验证可达性并统计线长</w:t>
            </w:r>
          </w:p>
        </w:tc>
      </w:tr>
      <w:tr w14:paraId="2F48A13F">
        <w:trPr>
          <w:jc w:val="center"/>
        </w:trPr>
        <w:tc>
          <w:tcPr>
            <w:tcW w:w="1531" w:type="dxa"/>
            <w:vAlign w:val="center"/>
          </w:tcPr>
          <w:p w14:paraId="63010C7D">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拥塞重布线</w:t>
            </w:r>
          </w:p>
        </w:tc>
        <w:tc>
          <w:tcPr>
            <w:tcW w:w="2268" w:type="dxa"/>
            <w:vAlign w:val="center"/>
          </w:tcPr>
          <w:p w14:paraId="55E9A611">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预布线路径、拥塞图</w:t>
            </w:r>
          </w:p>
        </w:tc>
        <w:tc>
          <w:tcPr>
            <w:tcW w:w="1928" w:type="dxa"/>
            <w:vAlign w:val="center"/>
          </w:tcPr>
          <w:p w14:paraId="31B568E7">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低拥塞路径集合</w:t>
            </w:r>
          </w:p>
        </w:tc>
        <w:tc>
          <w:tcPr>
            <w:tcW w:w="2835" w:type="dxa"/>
            <w:vAlign w:val="center"/>
          </w:tcPr>
          <w:p w14:paraId="5D81723C">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降低局部重叠和通道热点</w:t>
            </w:r>
          </w:p>
        </w:tc>
      </w:tr>
      <w:tr w14:paraId="0B47E4DA">
        <w:trPr>
          <w:jc w:val="center"/>
        </w:trPr>
        <w:tc>
          <w:tcPr>
            <w:tcW w:w="1531" w:type="dxa"/>
            <w:vAlign w:val="center"/>
          </w:tcPr>
          <w:p w14:paraId="750C72D9">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指标评估</w:t>
            </w:r>
          </w:p>
        </w:tc>
        <w:tc>
          <w:tcPr>
            <w:tcW w:w="2268" w:type="dxa"/>
            <w:vAlign w:val="center"/>
          </w:tcPr>
          <w:p w14:paraId="57D0B493">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布点和布线结果</w:t>
            </w:r>
          </w:p>
        </w:tc>
        <w:tc>
          <w:tcPr>
            <w:tcW w:w="1928" w:type="dxa"/>
            <w:vAlign w:val="center"/>
          </w:tcPr>
          <w:p w14:paraId="139AF74B">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CSV指标和SVG图</w:t>
            </w:r>
          </w:p>
        </w:tc>
        <w:tc>
          <w:tcPr>
            <w:tcW w:w="2835" w:type="dxa"/>
            <w:vAlign w:val="center"/>
          </w:tcPr>
          <w:p w14:paraId="7AF932CC">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支撑论文实验分析</w:t>
            </w:r>
          </w:p>
        </w:tc>
      </w:tr>
    </w:tbl>
    <w:p w14:paraId="6D92D0B4">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在实现上，拥塞感知A*的单步代价可以概括为：Cost(e)=L(e)+λobs·O(e)+λcong·U(e)+λturn·T(e)。其中L(e)为网格边长度，O(e)为障碍或边界惩罚，U(e)为该边或所在Tile的当前占用次数，T(e)为转弯惩罚，λobs、λcong和λturn为权重系数。由于障碍属于硬约束，O(e)在障碍节点上相当于无穷大；拥塞和转弯属于软目标，只在路径存在多种选择时影响A*搜索方向。该代价函数把胡木森网络流论文中的通道容量思想、刘自铭蚁群论文中的信息素思想和白胜泷Transformer-A*论文中的稳定搜索思想统一到同一工程实现框架中。</w:t>
      </w:r>
    </w:p>
    <w:p w14:paraId="2EE6B75D">
      <w:pPr>
        <w:pStyle w:val="4"/>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4.4 分层布线与重布线改进流程</w:t>
      </w:r>
    </w:p>
    <w:p w14:paraId="2C5DACD8">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参考网络流论文中“全局容量判断—局部细节布线”的层次化思路，本文将尾板布线过程进一步解释为三层：第一层为全局引导层，依据Tile容量和金手指分布判断大致通道；第二层为细节搜索层，使用A*在网格点上生成具体路径；第三层为拥塞修正层，根据已布路径占用情况提高热点网格代价，并对拥塞较高或线长异常的网络进行重布线。</w:t>
      </w:r>
    </w:p>
    <w:p w14:paraId="4CFBCC89">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该策略与蚁群算法中的信息素更新具有相似思想：历史路径经过次数越多，说明该区域越拥挤，后续网络再次经过该区域的代价越高。但与完整蚁群算法不同，本文不模拟大量蚂蚁随机搜索，而是在确定性A*搜索中加入动态代价项，因此更容易复现实验结果，也更适合当前C++原型。</w:t>
      </w:r>
    </w:p>
    <w:p w14:paraId="4295408D">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改进后的重布线流程为：先按金手指到测试点的估计距离由长到短排序，保证长线优先获得连续通道；随后执行初次A*布线并建立拥塞矩阵；若某网格占用次数超过阈值，则将相关网络加入重布线队列；最后提高热点区域代价并重新搜索路径。若重布线导致总线长明显增加，则保留原路径并记录拥塞风险。该流程使算法结果具有“布通优先、拥塞次之、线长折中”的工程逻辑。</w:t>
      </w:r>
    </w:p>
    <w:p w14:paraId="0BA5FC4F">
      <w:pPr>
        <w:pStyle w:val="3"/>
        <w:pageBreakBefore/>
        <w:spacing w:before="240" w:after="12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5 系统实现</w:t>
      </w:r>
    </w:p>
    <w:p w14:paraId="35D755DC">
      <w:pPr>
        <w:pStyle w:val="4"/>
        <w:spacing w:before="16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5.1 工程结构与运行方式</w:t>
      </w:r>
    </w:p>
    <w:p w14:paraId="0F92E0B4">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算法原型采用C++17标准实现，未引入Qt等图形界面依赖，以命令行方式保证跨平台可构建和便于答辩演示。工程包含CMakeLists.txt和Makefile两种构建入口；在当前macOS环境中，由于未安装CMake，使用Apple clang和Makefile完成了实际编译验证。程序入口参数固定为“--case 案例文件 --out 输出目录”，案例文件采用简单CSV键值格式描述引脚数量、尾板尺寸、金手指间距、网格步长、最小测试点间距和障碍区域。</w:t>
      </w:r>
    </w:p>
    <w:p w14:paraId="5CFE9E3A">
      <w:pPr>
        <w:spacing w:before="120" w:after="80" w:line="320" w:lineRule="exact"/>
        <w:jc w:val="center"/>
        <w:rPr>
          <w:color w:val="000000" w:themeColor="text1"/>
          <w14:textFill>
            <w14:solidFill>
              <w14:schemeClr w14:val="tx1"/>
            </w14:solidFill>
          </w14:textFill>
        </w:rPr>
      </w:pPr>
      <w:r>
        <w:rPr>
          <w:rFonts w:ascii="Times New Roman" w:hAnsi="Times New Roman" w:eastAsia="宋体"/>
          <w:color w:val="000000" w:themeColor="text1"/>
          <w:sz w:val="21"/>
          <w14:textFill>
            <w14:solidFill>
              <w14:schemeClr w14:val="tx1"/>
            </w14:solidFill>
          </w14:textFill>
        </w:rPr>
        <w:t>表 5-1 工程文件结构与运行说明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8"/>
        <w:gridCol w:w="2268"/>
        <w:gridCol w:w="3515"/>
      </w:tblGrid>
      <w:tr w14:paraId="39F5A471">
        <w:trPr>
          <w:tblHeader/>
          <w:jc w:val="center"/>
        </w:trPr>
        <w:tc>
          <w:tcPr>
            <w:tcW w:w="2608" w:type="dxa"/>
            <w:shd w:val="clear" w:color="auto" w:fill="EAF2F8"/>
            <w:vAlign w:val="center"/>
          </w:tcPr>
          <w:p w14:paraId="0447FAA1">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路径</w:t>
            </w:r>
          </w:p>
        </w:tc>
        <w:tc>
          <w:tcPr>
            <w:tcW w:w="2268" w:type="dxa"/>
            <w:shd w:val="clear" w:color="auto" w:fill="EAF2F8"/>
            <w:vAlign w:val="center"/>
          </w:tcPr>
          <w:p w14:paraId="045CCD3D">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内容</w:t>
            </w:r>
          </w:p>
        </w:tc>
        <w:tc>
          <w:tcPr>
            <w:tcW w:w="3515" w:type="dxa"/>
            <w:shd w:val="clear" w:color="auto" w:fill="EAF2F8"/>
            <w:vAlign w:val="center"/>
          </w:tcPr>
          <w:p w14:paraId="5D05ECBC">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说明</w:t>
            </w:r>
          </w:p>
        </w:tc>
      </w:tr>
      <w:tr w14:paraId="1F4F3C6F">
        <w:trPr>
          <w:jc w:val="center"/>
        </w:trPr>
        <w:tc>
          <w:tcPr>
            <w:tcW w:w="2608" w:type="dxa"/>
            <w:vAlign w:val="center"/>
          </w:tcPr>
          <w:p w14:paraId="6E870652">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include/pcb_tail_router.hpp</w:t>
            </w:r>
          </w:p>
        </w:tc>
        <w:tc>
          <w:tcPr>
            <w:tcW w:w="2268" w:type="dxa"/>
            <w:vAlign w:val="center"/>
          </w:tcPr>
          <w:p w14:paraId="5D8D21A5">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核心数据结构</w:t>
            </w:r>
          </w:p>
        </w:tc>
        <w:tc>
          <w:tcPr>
            <w:tcW w:w="3515" w:type="dxa"/>
            <w:vAlign w:val="center"/>
          </w:tcPr>
          <w:p w14:paraId="153318FF">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定义Point、Rect、Scenario、TestPoint、Route、Metrics等模型</w:t>
            </w:r>
          </w:p>
        </w:tc>
      </w:tr>
      <w:tr w14:paraId="6A82EC7B">
        <w:trPr>
          <w:jc w:val="center"/>
        </w:trPr>
        <w:tc>
          <w:tcPr>
            <w:tcW w:w="2608" w:type="dxa"/>
            <w:vAlign w:val="center"/>
          </w:tcPr>
          <w:p w14:paraId="496145BF">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src/main.cpp</w:t>
            </w:r>
          </w:p>
        </w:tc>
        <w:tc>
          <w:tcPr>
            <w:tcW w:w="2268" w:type="dxa"/>
            <w:vAlign w:val="center"/>
          </w:tcPr>
          <w:p w14:paraId="2A9AC93F">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算法实现与命令行入口</w:t>
            </w:r>
          </w:p>
        </w:tc>
        <w:tc>
          <w:tcPr>
            <w:tcW w:w="3515" w:type="dxa"/>
            <w:vAlign w:val="center"/>
          </w:tcPr>
          <w:p w14:paraId="02FEF826">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包含案例解析、布点、布线、指标统计和SVG输出</w:t>
            </w:r>
          </w:p>
        </w:tc>
      </w:tr>
      <w:tr w14:paraId="467257FA">
        <w:trPr>
          <w:jc w:val="center"/>
        </w:trPr>
        <w:tc>
          <w:tcPr>
            <w:tcW w:w="2608" w:type="dxa"/>
            <w:vAlign w:val="center"/>
          </w:tcPr>
          <w:p w14:paraId="70A3AC5B">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data/case_*.csv</w:t>
            </w:r>
          </w:p>
        </w:tc>
        <w:tc>
          <w:tcPr>
            <w:tcW w:w="2268" w:type="dxa"/>
            <w:vAlign w:val="center"/>
          </w:tcPr>
          <w:p w14:paraId="5F67B226">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五组实验案例</w:t>
            </w:r>
          </w:p>
        </w:tc>
        <w:tc>
          <w:tcPr>
            <w:tcW w:w="3515" w:type="dxa"/>
            <w:vAlign w:val="center"/>
          </w:tcPr>
          <w:p w14:paraId="7064A3F5">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覆盖低密度、中密度、高密度、障碍和面积受限场景</w:t>
            </w:r>
          </w:p>
        </w:tc>
      </w:tr>
      <w:tr w14:paraId="2E35B81C">
        <w:trPr>
          <w:jc w:val="center"/>
        </w:trPr>
        <w:tc>
          <w:tcPr>
            <w:tcW w:w="2608" w:type="dxa"/>
            <w:vAlign w:val="center"/>
          </w:tcPr>
          <w:p w14:paraId="154BC24C">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results/case_*</w:t>
            </w:r>
          </w:p>
        </w:tc>
        <w:tc>
          <w:tcPr>
            <w:tcW w:w="2268" w:type="dxa"/>
            <w:vAlign w:val="center"/>
          </w:tcPr>
          <w:p w14:paraId="0B176C1A">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运行结果</w:t>
            </w:r>
          </w:p>
        </w:tc>
        <w:tc>
          <w:tcPr>
            <w:tcW w:w="3515" w:type="dxa"/>
            <w:vAlign w:val="center"/>
          </w:tcPr>
          <w:p w14:paraId="0A16A450">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包含placement.csv、routes.csv、metrics.csv和layout.svg</w:t>
            </w:r>
          </w:p>
        </w:tc>
      </w:tr>
      <w:tr w14:paraId="53A5B37D">
        <w:trPr>
          <w:jc w:val="center"/>
        </w:trPr>
        <w:tc>
          <w:tcPr>
            <w:tcW w:w="2608" w:type="dxa"/>
            <w:vAlign w:val="center"/>
          </w:tcPr>
          <w:p w14:paraId="4973E1D8">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README.md</w:t>
            </w:r>
          </w:p>
        </w:tc>
        <w:tc>
          <w:tcPr>
            <w:tcW w:w="2268" w:type="dxa"/>
            <w:vAlign w:val="center"/>
          </w:tcPr>
          <w:p w14:paraId="545EDC64">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运行说明</w:t>
            </w:r>
          </w:p>
        </w:tc>
        <w:tc>
          <w:tcPr>
            <w:tcW w:w="3515" w:type="dxa"/>
            <w:vAlign w:val="center"/>
          </w:tcPr>
          <w:p w14:paraId="724D4A88">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记录构建命令、运行命令和输出文件含义</w:t>
            </w:r>
          </w:p>
        </w:tc>
      </w:tr>
    </w:tbl>
    <w:p w14:paraId="100FF487">
      <w:pPr>
        <w:rPr>
          <w:color w:val="000000" w:themeColor="text1"/>
          <w14:textFill>
            <w14:solidFill>
              <w14:schemeClr w14:val="tx1"/>
            </w14:solidFill>
          </w14:textFill>
        </w:rPr>
      </w:pPr>
    </w:p>
    <w:p w14:paraId="7CE2D4D1">
      <w:pPr>
        <w:pStyle w:val="4"/>
        <w:spacing w:before="16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5.2 输出文件说明</w:t>
      </w:r>
    </w:p>
    <w:p w14:paraId="62516869">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lacement.csv记录每个金手指对应测试点的坐标，可用于检查布点是否满足间距和边界约束；routes.csv记录每条网络是否布通、路径长度以及路径点序列，可用于复核障碍避让和线长统计；metrics.csv记录基线规则方案与优化方案的核心指标，是论文第六章表格和图表的数据来源；layout.svg以图形方式展示尾板边界、金手指、障碍、测试点和布线路径，便于答辩时直观说明算法效果。</w:t>
      </w:r>
    </w:p>
    <w:p w14:paraId="15D95624">
      <w:pPr>
        <w:pStyle w:val="4"/>
        <w:spacing w:before="16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5.3 关键函数与数据流</w:t>
      </w:r>
    </w:p>
    <w:p>
      <w:pPr>
        <w:spacing w:lineRule="exact" w:line="400" w:after="120"/>
        <w:ind w:firstLine="420"/>
      </w:pPr>
      <w:r>
        <w:rPr>
          <w:b w:val="0"/>
          <w:sz w:val="24"/>
          <w:rFonts w:eastAsia="宋体" w:ascii="Times New Roman" w:hAnsi="Times New Roman"/>
        </w:rPr>
        <w:t>表 5-3 算法实现框架</w:t>
      </w:r>
    </w:p>
    <w:tbl>
      <w:tblPr>
        <w:tblStyle w:val="33"/>
        <w:tblW w:type="auto" w:w="0"/>
        <w:jc w:val="center"/>
        <w:tblLook w:firstColumn="1" w:firstRow="1" w:lastColumn="0" w:lastRow="0" w:noHBand="0" w:noVBand="1" w:val="04A0"/>
      </w:tblPr>
      <w:tblGrid>
        <w:gridCol w:w="1814"/>
        <w:gridCol w:w="1814"/>
        <w:gridCol w:w="1814"/>
        <w:gridCol w:w="1814"/>
        <w:gridCol w:w="1814"/>
      </w:tblGrid>
      <w:tr>
        <w:trPr>
          <w:tblHeader/>
        </w:trPr>
        <w:tc>
          <w:tcPr>
            <w:tcW w:type="dxa" w:w="1247"/>
            <w:vAlign w:val="center"/>
          </w:tcPr>
          <w:p>
            <w:pPr>
              <w:spacing w:lineRule="exact" w:line="320"/>
              <w:jc w:val="center"/>
            </w:pPr>
            <w:r/>
            <w:r>
              <w:rPr>
                <w:b/>
                <w:sz w:val="21"/>
                <w:rFonts w:eastAsia="宋体" w:ascii="Times New Roman" w:hAnsi="Times New Roman"/>
              </w:rPr>
              <w:t>模块</w:t>
            </w:r>
          </w:p>
        </w:tc>
        <w:tc>
          <w:tcPr>
            <w:tcW w:type="dxa" w:w="1701"/>
            <w:vAlign w:val="center"/>
          </w:tcPr>
          <w:p>
            <w:pPr>
              <w:spacing w:lineRule="exact" w:line="320"/>
              <w:jc w:val="center"/>
            </w:pPr>
            <w:r/>
            <w:r>
              <w:rPr>
                <w:b/>
                <w:sz w:val="21"/>
                <w:rFonts w:eastAsia="宋体" w:ascii="Times New Roman" w:hAnsi="Times New Roman"/>
              </w:rPr>
              <w:t>输入</w:t>
            </w:r>
          </w:p>
        </w:tc>
        <w:tc>
          <w:tcPr>
            <w:tcW w:type="dxa" w:w="2041"/>
            <w:vAlign w:val="center"/>
          </w:tcPr>
          <w:p>
            <w:pPr>
              <w:spacing w:lineRule="exact" w:line="320"/>
              <w:jc w:val="center"/>
            </w:pPr>
            <w:r/>
            <w:r>
              <w:rPr>
                <w:b/>
                <w:sz w:val="21"/>
                <w:rFonts w:eastAsia="宋体" w:ascii="Times New Roman" w:hAnsi="Times New Roman"/>
              </w:rPr>
              <w:t>核心函数/流程</w:t>
            </w:r>
          </w:p>
        </w:tc>
        <w:tc>
          <w:tcPr>
            <w:tcW w:type="dxa" w:w="1474"/>
            <w:vAlign w:val="center"/>
          </w:tcPr>
          <w:p>
            <w:pPr>
              <w:spacing w:lineRule="exact" w:line="320"/>
              <w:jc w:val="center"/>
            </w:pPr>
            <w:r/>
            <w:r>
              <w:rPr>
                <w:b/>
                <w:sz w:val="21"/>
                <w:rFonts w:eastAsia="宋体" w:ascii="Times New Roman" w:hAnsi="Times New Roman"/>
              </w:rPr>
              <w:t>输出</w:t>
            </w:r>
          </w:p>
        </w:tc>
        <w:tc>
          <w:tcPr>
            <w:tcW w:type="dxa" w:w="1701"/>
            <w:vAlign w:val="center"/>
          </w:tcPr>
          <w:p>
            <w:pPr>
              <w:spacing w:lineRule="exact" w:line="320"/>
              <w:jc w:val="center"/>
            </w:pPr>
            <w:r/>
            <w:r>
              <w:rPr>
                <w:b/>
                <w:sz w:val="21"/>
                <w:rFonts w:eastAsia="宋体" w:ascii="Times New Roman" w:hAnsi="Times New Roman"/>
              </w:rPr>
              <w:t>对应指标</w:t>
            </w:r>
          </w:p>
        </w:tc>
      </w:tr>
      <w:tr>
        <w:tc>
          <w:tcPr>
            <w:tcW w:type="dxa" w:w="1247"/>
            <w:vAlign w:val="center"/>
          </w:tcPr>
          <w:p>
            <w:pPr>
              <w:spacing w:lineRule="exact" w:line="320"/>
              <w:jc w:val="center"/>
            </w:pPr>
            <w:r/>
            <w:r>
              <w:rPr>
                <w:b w:val="0"/>
                <w:sz w:val="21"/>
                <w:rFonts w:eastAsia="宋体" w:ascii="Times New Roman" w:hAnsi="Times New Roman"/>
              </w:rPr>
              <w:t>案例解析</w:t>
            </w:r>
          </w:p>
        </w:tc>
        <w:tc>
          <w:tcPr>
            <w:tcW w:type="dxa" w:w="1701"/>
            <w:vAlign w:val="center"/>
          </w:tcPr>
          <w:p>
            <w:pPr>
              <w:spacing w:lineRule="exact" w:line="320"/>
              <w:jc w:val="left"/>
            </w:pPr>
            <w:r/>
            <w:r>
              <w:rPr>
                <w:b w:val="0"/>
                <w:sz w:val="21"/>
                <w:rFonts w:eastAsia="宋体" w:ascii="Times New Roman" w:hAnsi="Times New Roman"/>
              </w:rPr>
              <w:t>case.csv / KiCad抽取参数</w:t>
            </w:r>
          </w:p>
        </w:tc>
        <w:tc>
          <w:tcPr>
            <w:tcW w:type="dxa" w:w="2041"/>
            <w:vAlign w:val="center"/>
          </w:tcPr>
          <w:p>
            <w:pPr>
              <w:spacing w:lineRule="exact" w:line="320"/>
              <w:jc w:val="center"/>
            </w:pPr>
            <w:r/>
            <w:r>
              <w:rPr>
                <w:b w:val="0"/>
                <w:sz w:val="21"/>
                <w:rFonts w:eastAsia="宋体" w:ascii="Times New Roman" w:hAnsi="Times New Roman"/>
              </w:rPr>
              <w:t>read_scenario</w:t>
            </w:r>
          </w:p>
        </w:tc>
        <w:tc>
          <w:tcPr>
            <w:tcW w:type="dxa" w:w="1474"/>
            <w:vAlign w:val="center"/>
          </w:tcPr>
          <w:p>
            <w:pPr>
              <w:spacing w:lineRule="exact" w:line="320"/>
              <w:jc w:val="center"/>
            </w:pPr>
            <w:r/>
            <w:r>
              <w:rPr>
                <w:b w:val="0"/>
                <w:sz w:val="21"/>
                <w:rFonts w:eastAsia="宋体" w:ascii="Times New Roman" w:hAnsi="Times New Roman"/>
              </w:rPr>
              <w:t>Scenario</w:t>
            </w:r>
          </w:p>
        </w:tc>
        <w:tc>
          <w:tcPr>
            <w:tcW w:type="dxa" w:w="1701"/>
            <w:vAlign w:val="center"/>
          </w:tcPr>
          <w:p>
            <w:pPr>
              <w:spacing w:lineRule="exact" w:line="320"/>
              <w:jc w:val="center"/>
            </w:pPr>
            <w:r/>
            <w:r>
              <w:rPr>
                <w:b w:val="0"/>
                <w:sz w:val="21"/>
                <w:rFonts w:eastAsia="宋体" w:ascii="Times New Roman" w:hAnsi="Times New Roman"/>
              </w:rPr>
              <w:t>引脚数、尾板尺寸</w:t>
            </w:r>
          </w:p>
        </w:tc>
      </w:tr>
      <w:tr>
        <w:tc>
          <w:tcPr>
            <w:tcW w:type="dxa" w:w="1247"/>
            <w:vAlign w:val="center"/>
          </w:tcPr>
          <w:p>
            <w:pPr>
              <w:spacing w:lineRule="exact" w:line="320"/>
              <w:jc w:val="center"/>
            </w:pPr>
            <w:r/>
            <w:r>
              <w:rPr>
                <w:b w:val="0"/>
                <w:sz w:val="21"/>
                <w:rFonts w:eastAsia="宋体" w:ascii="Times New Roman" w:hAnsi="Times New Roman"/>
              </w:rPr>
              <w:t>候选生成</w:t>
            </w:r>
          </w:p>
        </w:tc>
        <w:tc>
          <w:tcPr>
            <w:tcW w:type="dxa" w:w="1701"/>
            <w:vAlign w:val="center"/>
          </w:tcPr>
          <w:p>
            <w:pPr>
              <w:spacing w:lineRule="exact" w:line="320"/>
              <w:jc w:val="center"/>
            </w:pPr>
            <w:r/>
            <w:r>
              <w:rPr>
                <w:b w:val="0"/>
                <w:sz w:val="21"/>
                <w:rFonts w:eastAsia="宋体" w:ascii="Times New Roman" w:hAnsi="Times New Roman"/>
              </w:rPr>
              <w:t>规则库、障碍区、网格步长</w:t>
            </w:r>
          </w:p>
        </w:tc>
        <w:tc>
          <w:tcPr>
            <w:tcW w:type="dxa" w:w="2041"/>
            <w:vAlign w:val="center"/>
          </w:tcPr>
          <w:p>
            <w:pPr>
              <w:spacing w:lineRule="exact" w:line="320"/>
              <w:jc w:val="left"/>
            </w:pPr>
            <w:r/>
            <w:r>
              <w:rPr>
                <w:b w:val="0"/>
                <w:sz w:val="21"/>
                <w:rFonts w:eastAsia="宋体" w:ascii="Times New Roman" w:hAnsi="Times New Roman"/>
              </w:rPr>
              <w:t>generate_candidates</w:t>
            </w:r>
          </w:p>
        </w:tc>
        <w:tc>
          <w:tcPr>
            <w:tcW w:type="dxa" w:w="1474"/>
            <w:vAlign w:val="center"/>
          </w:tcPr>
          <w:p>
            <w:pPr>
              <w:spacing w:lineRule="exact" w:line="320"/>
              <w:jc w:val="center"/>
            </w:pPr>
            <w:r/>
            <w:r>
              <w:rPr>
                <w:b w:val="0"/>
                <w:sz w:val="21"/>
                <w:rFonts w:eastAsia="宋体" w:ascii="Times New Roman" w:hAnsi="Times New Roman"/>
              </w:rPr>
              <w:t>候选点集合</w:t>
            </w:r>
          </w:p>
        </w:tc>
        <w:tc>
          <w:tcPr>
            <w:tcW w:type="dxa" w:w="1701"/>
            <w:vAlign w:val="center"/>
          </w:tcPr>
          <w:p>
            <w:pPr>
              <w:spacing w:lineRule="exact" w:line="320"/>
              <w:jc w:val="center"/>
            </w:pPr>
            <w:r/>
            <w:r>
              <w:rPr>
                <w:b w:val="0"/>
                <w:sz w:val="21"/>
                <w:rFonts w:eastAsia="宋体" w:ascii="Times New Roman" w:hAnsi="Times New Roman"/>
              </w:rPr>
              <w:t>覆盖率、违规数</w:t>
            </w:r>
          </w:p>
        </w:tc>
      </w:tr>
      <w:tr>
        <w:tc>
          <w:tcPr>
            <w:tcW w:type="dxa" w:w="1247"/>
            <w:vAlign w:val="center"/>
          </w:tcPr>
          <w:p>
            <w:pPr>
              <w:spacing w:lineRule="exact" w:line="320"/>
              <w:jc w:val="center"/>
            </w:pPr>
            <w:r/>
            <w:r>
              <w:rPr>
                <w:b w:val="0"/>
                <w:sz w:val="21"/>
                <w:rFonts w:eastAsia="宋体" w:ascii="Times New Roman" w:hAnsi="Times New Roman"/>
              </w:rPr>
              <w:t>布点优化</w:t>
            </w:r>
          </w:p>
        </w:tc>
        <w:tc>
          <w:tcPr>
            <w:tcW w:type="dxa" w:w="1701"/>
            <w:vAlign w:val="center"/>
          </w:tcPr>
          <w:p>
            <w:pPr>
              <w:spacing w:lineRule="exact" w:line="320"/>
              <w:jc w:val="center"/>
            </w:pPr>
            <w:r/>
            <w:r>
              <w:rPr>
                <w:b w:val="0"/>
                <w:sz w:val="21"/>
                <w:rFonts w:eastAsia="宋体" w:ascii="Times New Roman" w:hAnsi="Times New Roman"/>
              </w:rPr>
              <w:t>金手指坐标、候选点</w:t>
            </w:r>
          </w:p>
        </w:tc>
        <w:tc>
          <w:tcPr>
            <w:tcW w:type="dxa" w:w="2041"/>
            <w:vAlign w:val="center"/>
          </w:tcPr>
          <w:p>
            <w:pPr>
              <w:spacing w:lineRule="exact" w:line="320"/>
              <w:jc w:val="left"/>
            </w:pPr>
            <w:r/>
            <w:r>
              <w:rPr>
                <w:b w:val="0"/>
                <w:sz w:val="21"/>
                <w:rFonts w:eastAsia="宋体" w:ascii="Times New Roman" w:hAnsi="Times New Roman"/>
              </w:rPr>
              <w:t>place_optimized / place_pso_hanan</w:t>
            </w:r>
          </w:p>
        </w:tc>
        <w:tc>
          <w:tcPr>
            <w:tcW w:type="dxa" w:w="1474"/>
            <w:vAlign w:val="center"/>
          </w:tcPr>
          <w:p>
            <w:pPr>
              <w:spacing w:lineRule="exact" w:line="320"/>
              <w:jc w:val="center"/>
            </w:pPr>
            <w:r/>
            <w:r>
              <w:rPr>
                <w:b w:val="0"/>
                <w:sz w:val="21"/>
                <w:rFonts w:eastAsia="宋体" w:ascii="Times New Roman" w:hAnsi="Times New Roman"/>
              </w:rPr>
              <w:t>placement.csv</w:t>
            </w:r>
          </w:p>
        </w:tc>
        <w:tc>
          <w:tcPr>
            <w:tcW w:type="dxa" w:w="1701"/>
            <w:vAlign w:val="center"/>
          </w:tcPr>
          <w:p>
            <w:pPr>
              <w:spacing w:lineRule="exact" w:line="320"/>
              <w:jc w:val="center"/>
            </w:pPr>
            <w:r/>
            <w:r>
              <w:rPr>
                <w:b w:val="0"/>
                <w:sz w:val="21"/>
                <w:rFonts w:eastAsia="宋体" w:ascii="Times New Roman" w:hAnsi="Times New Roman"/>
              </w:rPr>
              <w:t>面积占比、点间距</w:t>
            </w:r>
          </w:p>
        </w:tc>
      </w:tr>
      <w:tr>
        <w:tc>
          <w:tcPr>
            <w:tcW w:type="dxa" w:w="1247"/>
            <w:vAlign w:val="center"/>
          </w:tcPr>
          <w:p>
            <w:pPr>
              <w:spacing w:lineRule="exact" w:line="320"/>
              <w:jc w:val="center"/>
            </w:pPr>
            <w:r/>
            <w:r>
              <w:rPr>
                <w:b w:val="0"/>
                <w:sz w:val="21"/>
                <w:rFonts w:eastAsia="宋体" w:ascii="Times New Roman" w:hAnsi="Times New Roman"/>
              </w:rPr>
              <w:t>布线搜索</w:t>
            </w:r>
          </w:p>
        </w:tc>
        <w:tc>
          <w:tcPr>
            <w:tcW w:type="dxa" w:w="1701"/>
            <w:vAlign w:val="center"/>
          </w:tcPr>
          <w:p>
            <w:pPr>
              <w:spacing w:lineRule="exact" w:line="320"/>
              <w:jc w:val="center"/>
            </w:pPr>
            <w:r/>
            <w:r>
              <w:rPr>
                <w:b w:val="0"/>
                <w:sz w:val="21"/>
                <w:rFonts w:eastAsia="宋体" w:ascii="Times New Roman" w:hAnsi="Times New Roman"/>
              </w:rPr>
              <w:t>端子、测试点、障碍区</w:t>
            </w:r>
          </w:p>
        </w:tc>
        <w:tc>
          <w:tcPr>
            <w:tcW w:type="dxa" w:w="2041"/>
            <w:vAlign w:val="center"/>
          </w:tcPr>
          <w:p>
            <w:pPr>
              <w:spacing w:lineRule="exact" w:line="320"/>
              <w:jc w:val="center"/>
            </w:pPr>
            <w:r/>
            <w:r>
              <w:rPr>
                <w:b w:val="0"/>
                <w:sz w:val="21"/>
                <w:rFonts w:eastAsia="宋体" w:ascii="Times New Roman" w:hAnsi="Times New Roman"/>
              </w:rPr>
              <w:t>astar / route_all</w:t>
            </w:r>
          </w:p>
        </w:tc>
        <w:tc>
          <w:tcPr>
            <w:tcW w:type="dxa" w:w="1474"/>
            <w:vAlign w:val="center"/>
          </w:tcPr>
          <w:p>
            <w:pPr>
              <w:spacing w:lineRule="exact" w:line="320"/>
              <w:jc w:val="center"/>
            </w:pPr>
            <w:r/>
            <w:r>
              <w:rPr>
                <w:b w:val="0"/>
                <w:sz w:val="21"/>
                <w:rFonts w:eastAsia="宋体" w:ascii="Times New Roman" w:hAnsi="Times New Roman"/>
              </w:rPr>
              <w:t>routes.csv</w:t>
            </w:r>
          </w:p>
        </w:tc>
        <w:tc>
          <w:tcPr>
            <w:tcW w:type="dxa" w:w="1701"/>
            <w:vAlign w:val="center"/>
          </w:tcPr>
          <w:p>
            <w:pPr>
              <w:spacing w:lineRule="exact" w:line="320"/>
              <w:jc w:val="center"/>
            </w:pPr>
            <w:r/>
            <w:r>
              <w:rPr>
                <w:b w:val="0"/>
                <w:sz w:val="21"/>
                <w:rFonts w:eastAsia="宋体" w:ascii="Times New Roman" w:hAnsi="Times New Roman"/>
              </w:rPr>
              <w:t>布通率、总线长</w:t>
            </w:r>
          </w:p>
        </w:tc>
      </w:tr>
      <w:tr>
        <w:tc>
          <w:tcPr>
            <w:tcW w:type="dxa" w:w="1247"/>
            <w:vAlign w:val="center"/>
          </w:tcPr>
          <w:p>
            <w:pPr>
              <w:spacing w:lineRule="exact" w:line="320"/>
              <w:jc w:val="center"/>
            </w:pPr>
            <w:r/>
            <w:r>
              <w:rPr>
                <w:b w:val="0"/>
                <w:sz w:val="21"/>
                <w:rFonts w:eastAsia="宋体" w:ascii="Times New Roman" w:hAnsi="Times New Roman"/>
              </w:rPr>
              <w:t>拥塞重布线</w:t>
            </w:r>
          </w:p>
        </w:tc>
        <w:tc>
          <w:tcPr>
            <w:tcW w:type="dxa" w:w="1701"/>
            <w:vAlign w:val="center"/>
          </w:tcPr>
          <w:p>
            <w:pPr>
              <w:spacing w:lineRule="exact" w:line="320"/>
              <w:jc w:val="center"/>
            </w:pPr>
            <w:r/>
            <w:r>
              <w:rPr>
                <w:b w:val="0"/>
                <w:sz w:val="21"/>
                <w:rFonts w:eastAsia="宋体" w:ascii="Times New Roman" w:hAnsi="Times New Roman"/>
              </w:rPr>
              <w:t>初次路径、拥塞矩阵</w:t>
            </w:r>
          </w:p>
        </w:tc>
        <w:tc>
          <w:tcPr>
            <w:tcW w:type="dxa" w:w="2041"/>
            <w:vAlign w:val="center"/>
          </w:tcPr>
          <w:p>
            <w:pPr>
              <w:spacing w:lineRule="exact" w:line="320"/>
              <w:jc w:val="left"/>
            </w:pPr>
            <w:r/>
            <w:r>
              <w:rPr>
                <w:b w:val="0"/>
                <w:sz w:val="21"/>
                <w:rFonts w:eastAsia="宋体" w:ascii="Times New Roman" w:hAnsi="Times New Roman"/>
              </w:rPr>
              <w:t>route_all_congestion_aware</w:t>
            </w:r>
          </w:p>
        </w:tc>
        <w:tc>
          <w:tcPr>
            <w:tcW w:type="dxa" w:w="1474"/>
            <w:vAlign w:val="center"/>
          </w:tcPr>
          <w:p>
            <w:pPr>
              <w:spacing w:lineRule="exact" w:line="320"/>
              <w:jc w:val="center"/>
            </w:pPr>
            <w:r/>
            <w:r>
              <w:rPr>
                <w:b w:val="0"/>
                <w:sz w:val="21"/>
                <w:rFonts w:eastAsia="宋体" w:ascii="Times New Roman" w:hAnsi="Times New Roman"/>
              </w:rPr>
              <w:t>优化路径</w:t>
            </w:r>
          </w:p>
        </w:tc>
        <w:tc>
          <w:tcPr>
            <w:tcW w:type="dxa" w:w="1701"/>
            <w:vAlign w:val="center"/>
          </w:tcPr>
          <w:p>
            <w:pPr>
              <w:spacing w:lineRule="exact" w:line="320"/>
              <w:jc w:val="center"/>
            </w:pPr>
            <w:r/>
            <w:r>
              <w:rPr>
                <w:b w:val="0"/>
                <w:sz w:val="21"/>
                <w:rFonts w:eastAsia="宋体" w:ascii="Times New Roman" w:hAnsi="Times New Roman"/>
              </w:rPr>
              <w:t>拥塞峰值、拥挤网格数</w:t>
            </w:r>
          </w:p>
        </w:tc>
      </w:tr>
      <w:tr>
        <w:tc>
          <w:tcPr>
            <w:tcW w:type="dxa" w:w="1247"/>
            <w:vAlign w:val="center"/>
          </w:tcPr>
          <w:p>
            <w:pPr>
              <w:spacing w:lineRule="exact" w:line="320"/>
              <w:jc w:val="center"/>
            </w:pPr>
            <w:r/>
            <w:r>
              <w:rPr>
                <w:b w:val="0"/>
                <w:sz w:val="21"/>
                <w:rFonts w:eastAsia="宋体" w:ascii="Times New Roman" w:hAnsi="Times New Roman"/>
              </w:rPr>
              <w:t>结果导出</w:t>
            </w:r>
          </w:p>
        </w:tc>
        <w:tc>
          <w:tcPr>
            <w:tcW w:type="dxa" w:w="1701"/>
            <w:vAlign w:val="center"/>
          </w:tcPr>
          <w:p>
            <w:pPr>
              <w:spacing w:lineRule="exact" w:line="320"/>
              <w:jc w:val="center"/>
            </w:pPr>
            <w:r/>
            <w:r>
              <w:rPr>
                <w:b w:val="0"/>
                <w:sz w:val="21"/>
                <w:rFonts w:eastAsia="宋体" w:ascii="Times New Roman" w:hAnsi="Times New Roman"/>
              </w:rPr>
              <w:t>Solution、Metrics</w:t>
            </w:r>
          </w:p>
        </w:tc>
        <w:tc>
          <w:tcPr>
            <w:tcW w:type="dxa" w:w="2041"/>
            <w:vAlign w:val="center"/>
          </w:tcPr>
          <w:p>
            <w:pPr>
              <w:spacing w:lineRule="exact" w:line="320"/>
              <w:jc w:val="left"/>
            </w:pPr>
            <w:r/>
            <w:r>
              <w:rPr>
                <w:b w:val="0"/>
                <w:sz w:val="21"/>
                <w:rFonts w:eastAsia="宋体" w:ascii="Times New Roman" w:hAnsi="Times New Roman"/>
              </w:rPr>
              <w:t>write_csvs / write_svg</w:t>
            </w:r>
          </w:p>
        </w:tc>
        <w:tc>
          <w:tcPr>
            <w:tcW w:type="dxa" w:w="1474"/>
            <w:vAlign w:val="center"/>
          </w:tcPr>
          <w:p>
            <w:pPr>
              <w:spacing w:lineRule="exact" w:line="320"/>
              <w:jc w:val="left"/>
            </w:pPr>
            <w:r/>
            <w:r>
              <w:rPr>
                <w:b w:val="0"/>
                <w:sz w:val="21"/>
                <w:rFonts w:eastAsia="宋体" w:ascii="Times New Roman" w:hAnsi="Times New Roman"/>
              </w:rPr>
              <w:t>metrics.csv、SVG/PNG</w:t>
            </w:r>
          </w:p>
        </w:tc>
        <w:tc>
          <w:tcPr>
            <w:tcW w:type="dxa" w:w="1701"/>
            <w:vAlign w:val="center"/>
          </w:tcPr>
          <w:p>
            <w:pPr>
              <w:spacing w:lineRule="exact" w:line="320"/>
              <w:jc w:val="center"/>
            </w:pPr>
            <w:r/>
            <w:r>
              <w:rPr>
                <w:b w:val="0"/>
                <w:sz w:val="21"/>
                <w:rFonts w:eastAsia="宋体" w:ascii="Times New Roman" w:hAnsi="Times New Roman"/>
              </w:rPr>
              <w:t>论文图表</w:t>
            </w:r>
          </w:p>
        </w:tc>
      </w:tr>
    </w:tbl>
    <w:p>
      <w:pPr>
        <w:spacing w:after="80"/>
      </w:pPr>
    </w:p>
    <w:p>
      <w:pPr>
        <w:spacing w:lineRule="exact" w:line="400" w:after="120"/>
        <w:ind w:firstLine="420"/>
      </w:pPr>
      <w:r>
        <w:rPr>
          <w:b w:val="0"/>
          <w:sz w:val="24"/>
          <w:rFonts w:eastAsia="宋体" w:ascii="Times New Roman" w:hAnsi="Times New Roman"/>
        </w:rPr>
        <w:t>表 5-4 数据流与文件流</w:t>
      </w:r>
    </w:p>
    <w:tbl>
      <w:tblPr>
        <w:tblStyle w:val="33"/>
        <w:tblW w:type="auto" w:w="0"/>
        <w:jc w:val="center"/>
        <w:tblLook w:firstColumn="1" w:firstRow="1" w:lastColumn="0" w:lastRow="0" w:noHBand="0" w:noVBand="1" w:val="04A0"/>
      </w:tblPr>
      <w:tblGrid>
        <w:gridCol w:w="1814"/>
        <w:gridCol w:w="1814"/>
        <w:gridCol w:w="1814"/>
        <w:gridCol w:w="1814"/>
        <w:gridCol w:w="1814"/>
      </w:tblGrid>
      <w:tr>
        <w:trPr>
          <w:tblHeader/>
        </w:trPr>
        <w:tc>
          <w:tcPr>
            <w:tcW w:type="dxa" w:w="1020"/>
            <w:vAlign w:val="center"/>
          </w:tcPr>
          <w:p>
            <w:pPr>
              <w:spacing w:lineRule="exact" w:line="320"/>
              <w:jc w:val="center"/>
            </w:pPr>
            <w:r/>
            <w:r>
              <w:rPr>
                <w:b/>
                <w:sz w:val="21"/>
                <w:rFonts w:eastAsia="宋体" w:ascii="Times New Roman" w:hAnsi="Times New Roman"/>
              </w:rPr>
              <w:t>阶段</w:t>
            </w:r>
          </w:p>
        </w:tc>
        <w:tc>
          <w:tcPr>
            <w:tcW w:type="dxa" w:w="1701"/>
            <w:vAlign w:val="center"/>
          </w:tcPr>
          <w:p>
            <w:pPr>
              <w:spacing w:lineRule="exact" w:line="320"/>
              <w:jc w:val="center"/>
            </w:pPr>
            <w:r/>
            <w:r>
              <w:rPr>
                <w:b/>
                <w:sz w:val="21"/>
                <w:rFonts w:eastAsia="宋体" w:ascii="Times New Roman" w:hAnsi="Times New Roman"/>
              </w:rPr>
              <w:t>输入文件</w:t>
            </w:r>
          </w:p>
        </w:tc>
        <w:tc>
          <w:tcPr>
            <w:tcW w:type="dxa" w:w="1928"/>
            <w:vAlign w:val="center"/>
          </w:tcPr>
          <w:p>
            <w:pPr>
              <w:spacing w:lineRule="exact" w:line="320"/>
              <w:jc w:val="center"/>
            </w:pPr>
            <w:r/>
            <w:r>
              <w:rPr>
                <w:b/>
                <w:sz w:val="21"/>
                <w:rFonts w:eastAsia="宋体" w:ascii="Times New Roman" w:hAnsi="Times New Roman"/>
              </w:rPr>
              <w:t>处理结果</w:t>
            </w:r>
          </w:p>
        </w:tc>
        <w:tc>
          <w:tcPr>
            <w:tcW w:type="dxa" w:w="1871"/>
            <w:vAlign w:val="center"/>
          </w:tcPr>
          <w:p>
            <w:pPr>
              <w:spacing w:lineRule="exact" w:line="320"/>
              <w:jc w:val="center"/>
            </w:pPr>
            <w:r/>
            <w:r>
              <w:rPr>
                <w:b/>
                <w:sz w:val="21"/>
                <w:rFonts w:eastAsia="宋体" w:ascii="Times New Roman" w:hAnsi="Times New Roman"/>
              </w:rPr>
              <w:t>输出文件</w:t>
            </w:r>
          </w:p>
        </w:tc>
        <w:tc>
          <w:tcPr>
            <w:tcW w:type="dxa" w:w="1644"/>
            <w:vAlign w:val="center"/>
          </w:tcPr>
          <w:p>
            <w:pPr>
              <w:spacing w:lineRule="exact" w:line="320"/>
              <w:jc w:val="center"/>
            </w:pPr>
            <w:r/>
            <w:r>
              <w:rPr>
                <w:b/>
                <w:sz w:val="21"/>
                <w:rFonts w:eastAsia="宋体" w:ascii="Times New Roman" w:hAnsi="Times New Roman"/>
              </w:rPr>
              <w:t>论文用途</w:t>
            </w:r>
          </w:p>
        </w:tc>
      </w:tr>
      <w:tr>
        <w:tc>
          <w:tcPr>
            <w:tcW w:type="dxa" w:w="1020"/>
            <w:vAlign w:val="center"/>
          </w:tcPr>
          <w:p>
            <w:pPr>
              <w:spacing w:lineRule="exact" w:line="320"/>
              <w:jc w:val="center"/>
            </w:pPr>
            <w:r/>
            <w:r>
              <w:rPr>
                <w:b w:val="0"/>
                <w:sz w:val="21"/>
                <w:rFonts w:eastAsia="宋体" w:ascii="Times New Roman" w:hAnsi="Times New Roman"/>
              </w:rPr>
              <w:t>案例准备</w:t>
            </w:r>
          </w:p>
        </w:tc>
        <w:tc>
          <w:tcPr>
            <w:tcW w:type="dxa" w:w="1701"/>
            <w:vAlign w:val="center"/>
          </w:tcPr>
          <w:p>
            <w:pPr>
              <w:spacing w:lineRule="exact" w:line="320"/>
              <w:jc w:val="left"/>
            </w:pPr>
            <w:r/>
            <w:r>
              <w:rPr>
                <w:b w:val="0"/>
                <w:sz w:val="21"/>
                <w:rFonts w:eastAsia="宋体" w:ascii="Times New Roman" w:hAnsi="Times New Roman"/>
              </w:rPr>
              <w:t>公开.kicad_pcb / 参数化CSV</w:t>
            </w:r>
          </w:p>
        </w:tc>
        <w:tc>
          <w:tcPr>
            <w:tcW w:type="dxa" w:w="1928"/>
            <w:vAlign w:val="center"/>
          </w:tcPr>
          <w:p>
            <w:pPr>
              <w:spacing w:lineRule="exact" w:line="320"/>
              <w:jc w:val="center"/>
            </w:pPr>
            <w:r/>
            <w:r>
              <w:rPr>
                <w:b w:val="0"/>
                <w:sz w:val="21"/>
                <w:rFonts w:eastAsia="宋体" w:ascii="Times New Roman" w:hAnsi="Times New Roman"/>
              </w:rPr>
              <w:t>抽取金手指数量、间距和障碍</w:t>
            </w:r>
          </w:p>
        </w:tc>
        <w:tc>
          <w:tcPr>
            <w:tcW w:type="dxa" w:w="1871"/>
            <w:vAlign w:val="center"/>
          </w:tcPr>
          <w:p>
            <w:pPr>
              <w:spacing w:lineRule="exact" w:line="320"/>
              <w:jc w:val="center"/>
            </w:pPr>
            <w:r/>
            <w:r>
              <w:rPr>
                <w:b w:val="0"/>
                <w:sz w:val="21"/>
                <w:rFonts w:eastAsia="宋体" w:ascii="Times New Roman" w:hAnsi="Times New Roman"/>
              </w:rPr>
              <w:t>data/*.csv</w:t>
            </w:r>
          </w:p>
        </w:tc>
        <w:tc>
          <w:tcPr>
            <w:tcW w:type="dxa" w:w="1644"/>
            <w:vAlign w:val="center"/>
          </w:tcPr>
          <w:p>
            <w:pPr>
              <w:spacing w:lineRule="exact" w:line="320"/>
              <w:jc w:val="center"/>
            </w:pPr>
            <w:r/>
            <w:r>
              <w:rPr>
                <w:b w:val="0"/>
                <w:sz w:val="21"/>
                <w:rFonts w:eastAsia="宋体" w:ascii="Times New Roman" w:hAnsi="Times New Roman"/>
              </w:rPr>
              <w:t>实验条件说明</w:t>
            </w:r>
          </w:p>
        </w:tc>
      </w:tr>
      <w:tr>
        <w:tc>
          <w:tcPr>
            <w:tcW w:type="dxa" w:w="1020"/>
            <w:vAlign w:val="center"/>
          </w:tcPr>
          <w:p>
            <w:pPr>
              <w:spacing w:lineRule="exact" w:line="320"/>
              <w:jc w:val="center"/>
            </w:pPr>
            <w:r/>
            <w:r>
              <w:rPr>
                <w:b w:val="0"/>
                <w:sz w:val="21"/>
                <w:rFonts w:eastAsia="宋体" w:ascii="Times New Roman" w:hAnsi="Times New Roman"/>
              </w:rPr>
              <w:t>算法运行</w:t>
            </w:r>
          </w:p>
        </w:tc>
        <w:tc>
          <w:tcPr>
            <w:tcW w:type="dxa" w:w="1701"/>
            <w:vAlign w:val="center"/>
          </w:tcPr>
          <w:p>
            <w:pPr>
              <w:spacing w:lineRule="exact" w:line="320"/>
              <w:jc w:val="center"/>
            </w:pPr>
            <w:r/>
            <w:r>
              <w:rPr>
                <w:b w:val="0"/>
                <w:sz w:val="21"/>
                <w:rFonts w:eastAsia="宋体" w:ascii="Times New Roman" w:hAnsi="Times New Roman"/>
              </w:rPr>
              <w:t>case.csv</w:t>
            </w:r>
          </w:p>
        </w:tc>
        <w:tc>
          <w:tcPr>
            <w:tcW w:type="dxa" w:w="1928"/>
            <w:vAlign w:val="center"/>
          </w:tcPr>
          <w:p>
            <w:pPr>
              <w:spacing w:lineRule="exact" w:line="320"/>
              <w:jc w:val="center"/>
            </w:pPr>
            <w:r/>
            <w:r>
              <w:rPr>
                <w:b w:val="0"/>
                <w:sz w:val="21"/>
                <w:rFonts w:eastAsia="宋体" w:ascii="Times New Roman" w:hAnsi="Times New Roman"/>
              </w:rPr>
              <w:t>生成布点、布线和指标</w:t>
            </w:r>
          </w:p>
        </w:tc>
        <w:tc>
          <w:tcPr>
            <w:tcW w:type="dxa" w:w="1871"/>
            <w:vAlign w:val="center"/>
          </w:tcPr>
          <w:p>
            <w:pPr>
              <w:spacing w:lineRule="exact" w:line="320"/>
              <w:jc w:val="left"/>
            </w:pPr>
            <w:r/>
            <w:r>
              <w:rPr>
                <w:b w:val="0"/>
                <w:sz w:val="21"/>
                <w:rFonts w:eastAsia="宋体" w:ascii="Times New Roman" w:hAnsi="Times New Roman"/>
              </w:rPr>
              <w:t>placement.csv、routes.csv、metrics.csv</w:t>
            </w:r>
          </w:p>
        </w:tc>
        <w:tc>
          <w:tcPr>
            <w:tcW w:type="dxa" w:w="1644"/>
            <w:vAlign w:val="center"/>
          </w:tcPr>
          <w:p>
            <w:pPr>
              <w:spacing w:lineRule="exact" w:line="320"/>
              <w:jc w:val="center"/>
            </w:pPr>
            <w:r/>
            <w:r>
              <w:rPr>
                <w:b w:val="0"/>
                <w:sz w:val="21"/>
                <w:rFonts w:eastAsia="宋体" w:ascii="Times New Roman" w:hAnsi="Times New Roman"/>
              </w:rPr>
              <w:t>指标表</w:t>
            </w:r>
          </w:p>
        </w:tc>
      </w:tr>
      <w:tr>
        <w:tc>
          <w:tcPr>
            <w:tcW w:type="dxa" w:w="1020"/>
            <w:vAlign w:val="center"/>
          </w:tcPr>
          <w:p>
            <w:pPr>
              <w:spacing w:lineRule="exact" w:line="320"/>
              <w:jc w:val="center"/>
            </w:pPr>
            <w:r/>
            <w:r>
              <w:rPr>
                <w:b w:val="0"/>
                <w:sz w:val="21"/>
                <w:rFonts w:eastAsia="宋体" w:ascii="Times New Roman" w:hAnsi="Times New Roman"/>
              </w:rPr>
              <w:t>可视化</w:t>
            </w:r>
          </w:p>
        </w:tc>
        <w:tc>
          <w:tcPr>
            <w:tcW w:type="dxa" w:w="1701"/>
            <w:vAlign w:val="center"/>
          </w:tcPr>
          <w:p>
            <w:pPr>
              <w:spacing w:lineRule="exact" w:line="320"/>
              <w:jc w:val="center"/>
            </w:pPr>
            <w:r/>
            <w:r>
              <w:rPr>
                <w:b w:val="0"/>
                <w:sz w:val="21"/>
                <w:rFonts w:eastAsia="宋体" w:ascii="Times New Roman" w:hAnsi="Times New Roman"/>
              </w:rPr>
              <w:t>路径与测试点坐标</w:t>
            </w:r>
          </w:p>
        </w:tc>
        <w:tc>
          <w:tcPr>
            <w:tcW w:type="dxa" w:w="1928"/>
            <w:vAlign w:val="center"/>
          </w:tcPr>
          <w:p>
            <w:pPr>
              <w:spacing w:lineRule="exact" w:line="320"/>
              <w:jc w:val="center"/>
            </w:pPr>
            <w:r/>
            <w:r>
              <w:rPr>
                <w:b w:val="0"/>
                <w:sz w:val="21"/>
                <w:rFonts w:eastAsia="宋体" w:ascii="Times New Roman" w:hAnsi="Times New Roman"/>
              </w:rPr>
              <w:t>绘制尾板布局</w:t>
            </w:r>
          </w:p>
        </w:tc>
        <w:tc>
          <w:tcPr>
            <w:tcW w:type="dxa" w:w="1871"/>
            <w:vAlign w:val="center"/>
          </w:tcPr>
          <w:p>
            <w:pPr>
              <w:spacing w:lineRule="exact" w:line="320"/>
              <w:jc w:val="center"/>
            </w:pPr>
            <w:r/>
            <w:r>
              <w:rPr>
                <w:b w:val="0"/>
                <w:sz w:val="21"/>
                <w:rFonts w:eastAsia="宋体" w:ascii="Times New Roman" w:hAnsi="Times New Roman"/>
              </w:rPr>
              <w:t>layout_*.svg</w:t>
            </w:r>
          </w:p>
        </w:tc>
        <w:tc>
          <w:tcPr>
            <w:tcW w:type="dxa" w:w="1644"/>
            <w:vAlign w:val="center"/>
          </w:tcPr>
          <w:p>
            <w:pPr>
              <w:spacing w:lineRule="exact" w:line="320"/>
              <w:jc w:val="center"/>
            </w:pPr>
            <w:r/>
            <w:r>
              <w:rPr>
                <w:b w:val="0"/>
                <w:sz w:val="21"/>
                <w:rFonts w:eastAsia="宋体" w:ascii="Times New Roman" w:hAnsi="Times New Roman"/>
              </w:rPr>
              <w:t>布线成果图</w:t>
            </w:r>
          </w:p>
        </w:tc>
      </w:tr>
      <w:tr>
        <w:tc>
          <w:tcPr>
            <w:tcW w:type="dxa" w:w="1020"/>
            <w:vAlign w:val="center"/>
          </w:tcPr>
          <w:p>
            <w:pPr>
              <w:spacing w:lineRule="exact" w:line="320"/>
              <w:jc w:val="center"/>
            </w:pPr>
            <w:r/>
            <w:r>
              <w:rPr>
                <w:b w:val="0"/>
                <w:sz w:val="21"/>
                <w:rFonts w:eastAsia="宋体" w:ascii="Times New Roman" w:hAnsi="Times New Roman"/>
              </w:rPr>
              <w:t>KiCad对比</w:t>
            </w:r>
          </w:p>
        </w:tc>
        <w:tc>
          <w:tcPr>
            <w:tcW w:type="dxa" w:w="1701"/>
            <w:vAlign w:val="center"/>
          </w:tcPr>
          <w:p>
            <w:pPr>
              <w:spacing w:lineRule="exact" w:line="320"/>
              <w:jc w:val="center"/>
            </w:pPr>
            <w:r/>
            <w:r>
              <w:rPr>
                <w:b w:val="0"/>
                <w:sz w:val="21"/>
                <w:rFonts w:eastAsia="宋体" w:ascii="Times New Roman" w:hAnsi="Times New Roman"/>
              </w:rPr>
              <w:t>原始公开PCB</w:t>
            </w:r>
          </w:p>
        </w:tc>
        <w:tc>
          <w:tcPr>
            <w:tcW w:type="dxa" w:w="1928"/>
            <w:vAlign w:val="center"/>
          </w:tcPr>
          <w:p>
            <w:pPr>
              <w:spacing w:lineRule="exact" w:line="320"/>
              <w:jc w:val="center"/>
            </w:pPr>
            <w:r/>
            <w:r>
              <w:rPr>
                <w:b w:val="0"/>
                <w:sz w:val="21"/>
                <w:rFonts w:eastAsia="宋体" w:ascii="Times New Roman" w:hAnsi="Times New Roman"/>
              </w:rPr>
              <w:t>KiCad CLI导出原图并拼接</w:t>
            </w:r>
          </w:p>
        </w:tc>
        <w:tc>
          <w:tcPr>
            <w:tcW w:type="dxa" w:w="1871"/>
            <w:vAlign w:val="center"/>
          </w:tcPr>
          <w:p>
            <w:pPr>
              <w:spacing w:lineRule="exact" w:line="320"/>
              <w:jc w:val="center"/>
            </w:pPr>
            <w:r/>
            <w:r>
              <w:rPr>
                <w:b w:val="0"/>
                <w:sz w:val="21"/>
                <w:rFonts w:eastAsia="宋体" w:ascii="Times New Roman" w:hAnsi="Times New Roman"/>
              </w:rPr>
              <w:t>comparison_*.png</w:t>
            </w:r>
          </w:p>
        </w:tc>
        <w:tc>
          <w:tcPr>
            <w:tcW w:type="dxa" w:w="1644"/>
            <w:vAlign w:val="center"/>
          </w:tcPr>
          <w:p>
            <w:pPr>
              <w:spacing w:lineRule="exact" w:line="320"/>
              <w:jc w:val="center"/>
            </w:pPr>
            <w:r/>
            <w:r>
              <w:rPr>
                <w:b w:val="0"/>
                <w:sz w:val="21"/>
                <w:rFonts w:eastAsia="宋体" w:ascii="Times New Roman" w:hAnsi="Times New Roman"/>
              </w:rPr>
              <w:t>公开案例截图</w:t>
            </w:r>
          </w:p>
        </w:tc>
      </w:tr>
      <w:tr>
        <w:tc>
          <w:tcPr>
            <w:tcW w:type="dxa" w:w="1020"/>
            <w:vAlign w:val="center"/>
          </w:tcPr>
          <w:p>
            <w:pPr>
              <w:spacing w:lineRule="exact" w:line="320"/>
              <w:jc w:val="center"/>
            </w:pPr>
            <w:r/>
            <w:r>
              <w:rPr>
                <w:b w:val="0"/>
                <w:sz w:val="21"/>
                <w:rFonts w:eastAsia="宋体" w:ascii="Times New Roman" w:hAnsi="Times New Roman"/>
              </w:rPr>
              <w:t>论文汇总</w:t>
            </w:r>
          </w:p>
        </w:tc>
        <w:tc>
          <w:tcPr>
            <w:tcW w:type="dxa" w:w="1701"/>
            <w:vAlign w:val="center"/>
          </w:tcPr>
          <w:p>
            <w:pPr>
              <w:spacing w:lineRule="exact" w:line="320"/>
              <w:jc w:val="center"/>
            </w:pPr>
            <w:r/>
            <w:r>
              <w:rPr>
                <w:b w:val="0"/>
                <w:sz w:val="21"/>
                <w:rFonts w:eastAsia="宋体" w:ascii="Times New Roman" w:hAnsi="Times New Roman"/>
              </w:rPr>
              <w:t>summary.csv</w:t>
            </w:r>
          </w:p>
        </w:tc>
        <w:tc>
          <w:tcPr>
            <w:tcW w:type="dxa" w:w="1928"/>
            <w:vAlign w:val="center"/>
          </w:tcPr>
          <w:p>
            <w:pPr>
              <w:spacing w:lineRule="exact" w:line="320"/>
              <w:jc w:val="center"/>
            </w:pPr>
            <w:r/>
            <w:r>
              <w:rPr>
                <w:b w:val="0"/>
                <w:sz w:val="21"/>
                <w:rFonts w:eastAsia="宋体" w:ascii="Times New Roman" w:hAnsi="Times New Roman"/>
              </w:rPr>
              <w:t>筛选基线与设计算法</w:t>
            </w:r>
          </w:p>
        </w:tc>
        <w:tc>
          <w:tcPr>
            <w:tcW w:type="dxa" w:w="1871"/>
            <w:vAlign w:val="center"/>
          </w:tcPr>
          <w:p>
            <w:pPr>
              <w:spacing w:lineRule="exact" w:line="320"/>
              <w:jc w:val="center"/>
            </w:pPr>
            <w:r/>
            <w:r>
              <w:rPr>
                <w:b w:val="0"/>
                <w:sz w:val="21"/>
                <w:rFonts w:eastAsia="宋体" w:ascii="Times New Roman" w:hAnsi="Times New Roman"/>
              </w:rPr>
              <w:t>表6-4、图6-4</w:t>
            </w:r>
          </w:p>
        </w:tc>
        <w:tc>
          <w:tcPr>
            <w:tcW w:type="dxa" w:w="1644"/>
            <w:vAlign w:val="center"/>
          </w:tcPr>
          <w:p>
            <w:pPr>
              <w:spacing w:lineRule="exact" w:line="320"/>
              <w:jc w:val="center"/>
            </w:pPr>
            <w:r/>
            <w:r>
              <w:rPr>
                <w:b w:val="0"/>
                <w:sz w:val="21"/>
                <w:rFonts w:eastAsia="宋体" w:ascii="Times New Roman" w:hAnsi="Times New Roman"/>
              </w:rPr>
              <w:t>量化结论</w:t>
            </w:r>
          </w:p>
        </w:tc>
      </w:tr>
    </w:tbl>
    <w:p>
      <w:pPr>
        <w:spacing w:after="80"/>
      </w:pPr>
    </w:p>
    <w:p w14:paraId="43F9AC57">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程序的数据流从案例解析开始。read_scenario函数负责读取CSV键值对，将引脚数量、尾板尺寸、金手指间距、网格步长、测试点最小间距和障碍区域转化为Scenario结构体。generate_pins函数根据金手指数量和间距在尾板上边界生成端子坐标，保证不同案例具有统一的数据入口。generate_candidates函数遍历尾板内部网格点并剔除障碍点，形成可选测试点集合。上述步骤对应论文模型中的输入层和约束预处理层，决定后续算法是否能够在合法空间内搜索。</w:t>
      </w:r>
    </w:p>
    <w:p w14:paraId="76A43DAD">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布点阶段由place_baseline、place_optimized和place_pso_hanan三个函数分别实现。第一组按照规则行列方式放置测试点，用作人工经验方案的近似基线；第二组先根据金手指横向位置分配目标带，再对候选点进行贪心选择和局部禁忌调整；第三组参考PSO与Hanan点优化思想，用粒子群搜索布点参数，并在候选点选择中综合线长、面积和间距代价。PSO实现采用递减惯性权重，使前期具有更强探索能力，后期逐步收敛到稳定参数组合。</w:t>
      </w:r>
    </w:p>
    <w:p w14:paraId="545A840B">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布线阶段由astar、route_all和route_all_congestion_aware函数完成。astar函数在网格图上搜索单个网络路径，障碍区域被视为不可访问节点；route_all函数依次处理所有测试点，并将路径结果整理为Route集合；route_all_congestion_aware函数则在预布线结果基础上构建动态拥塞图，将历史路径占用作为类似蚁群信息素的代价项，引导后续网络避开热点区域。evaluate函数对布点和布线结果进行统一评价，除覆盖率、布通率、面积占比、总线长和违规数外，还统计拥塞峰值和拥挤网格数量。write_csvs和write_svg函数负责把结果落盘，形成论文可引用的数据和图示。</w:t>
      </w:r>
    </w:p>
    <w:p w14:paraId="16264007">
      <w:pPr>
        <w:pStyle w:val="4"/>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5.4 文献支撑下的代码模块对应关系</w:t>
      </w:r>
    </w:p>
    <w:p w14:paraId="03133F63">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为保证“论文—文献—代码”三者一致，本文将每类文献思想对应到一个可检查的程序模块。这样在答辩时不仅可以说明算法从哪里来，也可以说明该思想在源代码和实验指标中如何体现。</w:t>
      </w:r>
    </w:p>
    <w:p w14:paraId="0C539AE1">
      <w:pPr>
        <w:spacing w:before="120" w:after="80" w:line="320" w:lineRule="exact"/>
        <w:jc w:val="center"/>
        <w:rPr>
          <w:color w:val="000000" w:themeColor="text1"/>
          <w14:textFill>
            <w14:solidFill>
              <w14:schemeClr w14:val="tx1"/>
            </w14:solidFill>
          </w14:textFill>
        </w:rPr>
      </w:pPr>
      <w:r>
        <w:rPr>
          <w:rFonts w:ascii="Times New Roman" w:hAnsi="Times New Roman" w:eastAsia="宋体"/>
          <w:color w:val="000000" w:themeColor="text1"/>
          <w:sz w:val="21"/>
          <w14:textFill>
            <w14:solidFill>
              <w14:schemeClr w14:val="tx1"/>
            </w14:solidFill>
          </w14:textFill>
        </w:rPr>
        <w:t>表 5-2 文献思想与 C++ 模块对应关系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358"/>
        <w:gridCol w:w="2268"/>
        <w:gridCol w:w="2268"/>
      </w:tblGrid>
      <w:tr w14:paraId="72A74AF5">
        <w:trPr>
          <w:tblHeader/>
          <w:jc w:val="center"/>
        </w:trPr>
        <w:tc>
          <w:tcPr>
            <w:tcW w:w="2268" w:type="dxa"/>
            <w:vAlign w:val="center"/>
          </w:tcPr>
          <w:p w14:paraId="3D31B5CA">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文献思想</w:t>
            </w:r>
          </w:p>
        </w:tc>
        <w:tc>
          <w:tcPr>
            <w:tcW w:w="2268" w:type="dxa"/>
            <w:vAlign w:val="center"/>
          </w:tcPr>
          <w:p w14:paraId="002E20A0">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代码/流程对应位置</w:t>
            </w:r>
          </w:p>
        </w:tc>
        <w:tc>
          <w:tcPr>
            <w:tcW w:w="2268" w:type="dxa"/>
            <w:vAlign w:val="center"/>
          </w:tcPr>
          <w:p w14:paraId="40427C8B">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输出证据</w:t>
            </w:r>
          </w:p>
        </w:tc>
        <w:tc>
          <w:tcPr>
            <w:tcW w:w="2268" w:type="dxa"/>
            <w:vAlign w:val="center"/>
          </w:tcPr>
          <w:p w14:paraId="4E18AEBD">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说明</w:t>
            </w:r>
          </w:p>
        </w:tc>
      </w:tr>
      <w:tr w14:paraId="7F76B78B">
        <w:trPr>
          <w:jc w:val="center"/>
        </w:trPr>
        <w:tc>
          <w:tcPr>
            <w:tcW w:w="2268" w:type="dxa"/>
            <w:vAlign w:val="center"/>
          </w:tcPr>
          <w:p w14:paraId="097C7A3A">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TPI候选选择</w:t>
            </w:r>
          </w:p>
        </w:tc>
        <w:tc>
          <w:tcPr>
            <w:tcW w:w="2268" w:type="dxa"/>
            <w:vAlign w:val="center"/>
          </w:tcPr>
          <w:p w14:paraId="0556A5EB">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generate_candidates、place_optimized</w:t>
            </w:r>
          </w:p>
        </w:tc>
        <w:tc>
          <w:tcPr>
            <w:tcW w:w="2268" w:type="dxa"/>
            <w:vAlign w:val="center"/>
          </w:tcPr>
          <w:p w14:paraId="16C1BB26">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placement.csv、覆盖率</w:t>
            </w:r>
          </w:p>
        </w:tc>
        <w:tc>
          <w:tcPr>
            <w:tcW w:w="2268" w:type="dxa"/>
            <w:vAlign w:val="center"/>
          </w:tcPr>
          <w:p w14:paraId="49E942F0">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体现测试点插入与覆盖率目标</w:t>
            </w:r>
          </w:p>
        </w:tc>
      </w:tr>
      <w:tr w14:paraId="36426A2B">
        <w:trPr>
          <w:jc w:val="center"/>
        </w:trPr>
        <w:tc>
          <w:tcPr>
            <w:tcW w:w="2268" w:type="dxa"/>
            <w:vAlign w:val="center"/>
          </w:tcPr>
          <w:p w14:paraId="48DC2D31">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PSO与Hanan候选优化</w:t>
            </w:r>
          </w:p>
        </w:tc>
        <w:tc>
          <w:tcPr>
            <w:tcW w:w="2268" w:type="dxa"/>
            <w:vAlign w:val="center"/>
          </w:tcPr>
          <w:p w14:paraId="2CE33E3A">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place_pso_hanan</w:t>
            </w:r>
          </w:p>
        </w:tc>
        <w:tc>
          <w:tcPr>
            <w:tcW w:w="2268" w:type="dxa"/>
            <w:vAlign w:val="center"/>
          </w:tcPr>
          <w:p w14:paraId="669CB2D1">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面积占比、总线长</w:t>
            </w:r>
          </w:p>
        </w:tc>
        <w:tc>
          <w:tcPr>
            <w:tcW w:w="2268" w:type="dxa"/>
            <w:vAlign w:val="center"/>
          </w:tcPr>
          <w:p w14:paraId="59C67ADD">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用于压缩布点范围并降低路径长度</w:t>
            </w:r>
          </w:p>
        </w:tc>
      </w:tr>
      <w:tr w14:paraId="7271D6D0">
        <w:trPr>
          <w:jc w:val="center"/>
        </w:trPr>
        <w:tc>
          <w:tcPr>
            <w:tcW w:w="2268" w:type="dxa"/>
            <w:vAlign w:val="center"/>
          </w:tcPr>
          <w:p w14:paraId="281E0F0E">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A*与经典迷宫搜索</w:t>
            </w:r>
          </w:p>
        </w:tc>
        <w:tc>
          <w:tcPr>
            <w:tcW w:w="2268" w:type="dxa"/>
            <w:vAlign w:val="center"/>
          </w:tcPr>
          <w:p w14:paraId="0085AA2E">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astar、route_all</w:t>
            </w:r>
          </w:p>
        </w:tc>
        <w:tc>
          <w:tcPr>
            <w:tcW w:w="2268" w:type="dxa"/>
            <w:vAlign w:val="center"/>
          </w:tcPr>
          <w:p w14:paraId="71D7C9E2">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routes.csv、线长、布通率</w:t>
            </w:r>
          </w:p>
        </w:tc>
        <w:tc>
          <w:tcPr>
            <w:tcW w:w="2268" w:type="dxa"/>
            <w:vAlign w:val="center"/>
          </w:tcPr>
          <w:p w14:paraId="01B85A75">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完成端子到测试点的可达路径搜索</w:t>
            </w:r>
          </w:p>
        </w:tc>
      </w:tr>
      <w:tr w14:paraId="0C527C64">
        <w:trPr>
          <w:jc w:val="center"/>
        </w:trPr>
        <w:tc>
          <w:tcPr>
            <w:tcW w:w="2268" w:type="dxa"/>
            <w:vAlign w:val="center"/>
          </w:tcPr>
          <w:p w14:paraId="6D6F03FA">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网络流容量/拥塞</w:t>
            </w:r>
          </w:p>
        </w:tc>
        <w:tc>
          <w:tcPr>
            <w:tcW w:w="2268" w:type="dxa"/>
            <w:vAlign w:val="center"/>
          </w:tcPr>
          <w:p w14:paraId="09414C4A">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congestion map、evaluate</w:t>
            </w:r>
          </w:p>
        </w:tc>
        <w:tc>
          <w:tcPr>
            <w:tcW w:w="2268" w:type="dxa"/>
            <w:vAlign w:val="center"/>
          </w:tcPr>
          <w:p w14:paraId="0184C886">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拥塞峰值、拥挤网格数</w:t>
            </w:r>
          </w:p>
        </w:tc>
        <w:tc>
          <w:tcPr>
            <w:tcW w:w="2268" w:type="dxa"/>
            <w:vAlign w:val="center"/>
          </w:tcPr>
          <w:p w14:paraId="6A59DFD9">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统计通道占用并识别拥塞热点</w:t>
            </w:r>
          </w:p>
        </w:tc>
      </w:tr>
      <w:tr w14:paraId="0DED5A28">
        <w:trPr>
          <w:jc w:val="center"/>
        </w:trPr>
        <w:tc>
          <w:tcPr>
            <w:tcW w:w="2268" w:type="dxa"/>
            <w:vAlign w:val="center"/>
          </w:tcPr>
          <w:p w14:paraId="09124A4A">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蚁群信息素/拆线重布</w:t>
            </w:r>
          </w:p>
        </w:tc>
        <w:tc>
          <w:tcPr>
            <w:tcW w:w="2268" w:type="dxa"/>
            <w:vAlign w:val="center"/>
          </w:tcPr>
          <w:p w14:paraId="5ACB88CD">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route_all_congestion_aware</w:t>
            </w:r>
          </w:p>
        </w:tc>
        <w:tc>
          <w:tcPr>
            <w:tcW w:w="2268" w:type="dxa"/>
            <w:vAlign w:val="center"/>
          </w:tcPr>
          <w:p w14:paraId="361FECD7">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拥塞重布线指标</w:t>
            </w:r>
          </w:p>
        </w:tc>
        <w:tc>
          <w:tcPr>
            <w:tcW w:w="2268" w:type="dxa"/>
            <w:vAlign w:val="center"/>
          </w:tcPr>
          <w:p w14:paraId="764A7E4B">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用历史占用提高热点代价，引导后续路径绕行</w:t>
            </w:r>
          </w:p>
        </w:tc>
      </w:tr>
      <w:tr w14:paraId="322FFC9A">
        <w:trPr>
          <w:jc w:val="center"/>
        </w:trPr>
        <w:tc>
          <w:tcPr>
            <w:tcW w:w="2268" w:type="dxa"/>
            <w:vAlign w:val="center"/>
          </w:tcPr>
          <w:p w14:paraId="51D37828">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合法化与DRC</w:t>
            </w:r>
          </w:p>
        </w:tc>
        <w:tc>
          <w:tcPr>
            <w:tcW w:w="2268" w:type="dxa"/>
            <w:vAlign w:val="center"/>
          </w:tcPr>
          <w:p w14:paraId="679161B5">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is_valid、违规统计</w:t>
            </w:r>
          </w:p>
        </w:tc>
        <w:tc>
          <w:tcPr>
            <w:tcW w:w="2268" w:type="dxa"/>
            <w:vAlign w:val="center"/>
          </w:tcPr>
          <w:p w14:paraId="3D968FC0">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violations字段</w:t>
            </w:r>
          </w:p>
        </w:tc>
        <w:tc>
          <w:tcPr>
            <w:tcW w:w="2268" w:type="dxa"/>
            <w:vAlign w:val="center"/>
          </w:tcPr>
          <w:p w14:paraId="25F395A9">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把障碍、点间距和未布通统一为合法性指标</w:t>
            </w:r>
          </w:p>
        </w:tc>
      </w:tr>
    </w:tbl>
    <w:p w14:paraId="5EE2BE9A">
      <w:pPr>
        <w:pStyle w:val="3"/>
        <w:pageBreakBefore/>
        <w:spacing w:before="240" w:after="12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6 实验结果与分析</w:t>
      </w:r>
    </w:p>
    <w:p w14:paraId="666C0541">
      <w:pPr>
        <w:pStyle w:val="4"/>
        <w:spacing w:before="16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6.1 实验设置</w:t>
      </w:r>
    </w:p>
    <w:p w14:paraId="4199D288">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由于受企业真实PCB设计文件获取条件限制，本文按照开题报告和阶段性报告确定的研究方向，结合金手指制造资料、PCB可测性设计资料以及相关文献中的高密度、障碍、拥塞和面积受限场景，构造五组具有代表性的参数化案例进行仿真实验[13-23]。案例一为40 pin低密度金手指，主要验证算法基本功能；案例二为80 pin中密度金手指，验证常规规模下的面积和线长优化；案例三为120 pin高密度金手指，验证端子密集时的布点能力；案例四加入两个矩形障碍区域，验证绕障能力；案例五压缩尾板面积并加入障碍，模拟面积受限场景。所有实验均由同一C++程序生成结果，未手工调整输出数据。</w:t>
      </w:r>
    </w:p>
    <w:p w14:paraId="62ABA263">
      <w:pPr>
        <w:spacing w:before="120" w:after="80" w:line="320" w:lineRule="exact"/>
        <w:jc w:val="center"/>
        <w:rPr>
          <w:color w:val="000000" w:themeColor="text1"/>
          <w14:textFill>
            <w14:solidFill>
              <w14:schemeClr w14:val="tx1"/>
            </w14:solidFill>
          </w14:textFill>
        </w:rPr>
      </w:pPr>
      <w:r>
        <w:rPr>
          <w:rFonts w:ascii="Times New Roman" w:hAnsi="Times New Roman" w:eastAsia="宋体"/>
          <w:color w:val="000000" w:themeColor="text1"/>
          <w:sz w:val="21"/>
          <w14:textFill>
            <w14:solidFill>
              <w14:schemeClr w14:val="tx1"/>
            </w14:solidFill>
          </w14:textFill>
        </w:rPr>
        <w:t>表 6-1 参数化实验案例设置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964"/>
        <w:gridCol w:w="1134"/>
        <w:gridCol w:w="1134"/>
        <w:gridCol w:w="1134"/>
        <w:gridCol w:w="2835"/>
      </w:tblGrid>
      <w:tr w14:paraId="5949ABA1">
        <w:trPr>
          <w:tblHeader/>
          <w:jc w:val="center"/>
        </w:trPr>
        <w:tc>
          <w:tcPr>
            <w:tcW w:w="1474" w:type="dxa"/>
            <w:shd w:val="clear" w:color="auto" w:fill="EAF2F8"/>
            <w:vAlign w:val="center"/>
          </w:tcPr>
          <w:p w14:paraId="2382CBDD">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案例</w:t>
            </w:r>
          </w:p>
        </w:tc>
        <w:tc>
          <w:tcPr>
            <w:tcW w:w="964" w:type="dxa"/>
            <w:shd w:val="clear" w:color="auto" w:fill="EAF2F8"/>
            <w:vAlign w:val="center"/>
          </w:tcPr>
          <w:p w14:paraId="19E3AB77">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引脚数</w:t>
            </w:r>
          </w:p>
        </w:tc>
        <w:tc>
          <w:tcPr>
            <w:tcW w:w="1134" w:type="dxa"/>
            <w:shd w:val="clear" w:color="auto" w:fill="EAF2F8"/>
            <w:vAlign w:val="center"/>
          </w:tcPr>
          <w:p w14:paraId="2DA682AF">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宽度/mm</w:t>
            </w:r>
          </w:p>
        </w:tc>
        <w:tc>
          <w:tcPr>
            <w:tcW w:w="1134" w:type="dxa"/>
            <w:shd w:val="clear" w:color="auto" w:fill="EAF2F8"/>
            <w:vAlign w:val="center"/>
          </w:tcPr>
          <w:p w14:paraId="2C4A3E9B">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高度/mm</w:t>
            </w:r>
          </w:p>
        </w:tc>
        <w:tc>
          <w:tcPr>
            <w:tcW w:w="1134" w:type="dxa"/>
            <w:shd w:val="clear" w:color="auto" w:fill="EAF2F8"/>
            <w:vAlign w:val="center"/>
          </w:tcPr>
          <w:p w14:paraId="551723F9">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间距/mm</w:t>
            </w:r>
          </w:p>
        </w:tc>
        <w:tc>
          <w:tcPr>
            <w:tcW w:w="2835" w:type="dxa"/>
            <w:shd w:val="clear" w:color="auto" w:fill="EAF2F8"/>
            <w:vAlign w:val="center"/>
          </w:tcPr>
          <w:p w14:paraId="745D9388">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障碍设置</w:t>
            </w:r>
          </w:p>
        </w:tc>
      </w:tr>
      <w:tr w14:paraId="6A86AE1E">
        <w:trPr>
          <w:jc w:val="center"/>
        </w:trPr>
        <w:tc>
          <w:tcPr>
            <w:tcW w:w="1474" w:type="dxa"/>
            <w:vAlign w:val="center"/>
          </w:tcPr>
          <w:p w14:paraId="25910AF7">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case_01</w:t>
            </w:r>
          </w:p>
        </w:tc>
        <w:tc>
          <w:tcPr>
            <w:tcW w:w="964" w:type="dxa"/>
            <w:vAlign w:val="center"/>
          </w:tcPr>
          <w:p w14:paraId="0D40C15A">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40</w:t>
            </w:r>
          </w:p>
        </w:tc>
        <w:tc>
          <w:tcPr>
            <w:tcW w:w="1134" w:type="dxa"/>
            <w:vAlign w:val="center"/>
          </w:tcPr>
          <w:p w14:paraId="301A6647">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90</w:t>
            </w:r>
          </w:p>
        </w:tc>
        <w:tc>
          <w:tcPr>
            <w:tcW w:w="1134" w:type="dxa"/>
            <w:vAlign w:val="center"/>
          </w:tcPr>
          <w:p w14:paraId="5DC4BBC3">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42</w:t>
            </w:r>
          </w:p>
        </w:tc>
        <w:tc>
          <w:tcPr>
            <w:tcW w:w="1134" w:type="dxa"/>
            <w:vAlign w:val="center"/>
          </w:tcPr>
          <w:p w14:paraId="7D9B5267">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1.27</w:t>
            </w:r>
          </w:p>
        </w:tc>
        <w:tc>
          <w:tcPr>
            <w:tcW w:w="2835" w:type="dxa"/>
            <w:vAlign w:val="center"/>
          </w:tcPr>
          <w:p w14:paraId="29F7F50F">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none</w:t>
            </w:r>
          </w:p>
        </w:tc>
      </w:tr>
      <w:tr w14:paraId="7416776A">
        <w:trPr>
          <w:jc w:val="center"/>
        </w:trPr>
        <w:tc>
          <w:tcPr>
            <w:tcW w:w="1474" w:type="dxa"/>
            <w:vAlign w:val="center"/>
          </w:tcPr>
          <w:p w14:paraId="1BE8FC8C">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case_02</w:t>
            </w:r>
          </w:p>
        </w:tc>
        <w:tc>
          <w:tcPr>
            <w:tcW w:w="964" w:type="dxa"/>
            <w:vAlign w:val="center"/>
          </w:tcPr>
          <w:p w14:paraId="731F5FC2">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80</w:t>
            </w:r>
          </w:p>
        </w:tc>
        <w:tc>
          <w:tcPr>
            <w:tcW w:w="1134" w:type="dxa"/>
            <w:vAlign w:val="center"/>
          </w:tcPr>
          <w:p w14:paraId="47F0D00F">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96</w:t>
            </w:r>
          </w:p>
        </w:tc>
        <w:tc>
          <w:tcPr>
            <w:tcW w:w="1134" w:type="dxa"/>
            <w:vAlign w:val="center"/>
          </w:tcPr>
          <w:p w14:paraId="42B08BDC">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48</w:t>
            </w:r>
          </w:p>
        </w:tc>
        <w:tc>
          <w:tcPr>
            <w:tcW w:w="1134" w:type="dxa"/>
            <w:vAlign w:val="center"/>
          </w:tcPr>
          <w:p w14:paraId="72C5A1EE">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0.8</w:t>
            </w:r>
          </w:p>
        </w:tc>
        <w:tc>
          <w:tcPr>
            <w:tcW w:w="2835" w:type="dxa"/>
            <w:vAlign w:val="center"/>
          </w:tcPr>
          <w:p w14:paraId="30203011">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none</w:t>
            </w:r>
          </w:p>
        </w:tc>
      </w:tr>
      <w:tr w14:paraId="498D0896">
        <w:trPr>
          <w:jc w:val="center"/>
        </w:trPr>
        <w:tc>
          <w:tcPr>
            <w:tcW w:w="1474" w:type="dxa"/>
            <w:vAlign w:val="center"/>
          </w:tcPr>
          <w:p w14:paraId="3D6BE086">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case_03</w:t>
            </w:r>
          </w:p>
        </w:tc>
        <w:tc>
          <w:tcPr>
            <w:tcW w:w="964" w:type="dxa"/>
            <w:vAlign w:val="center"/>
          </w:tcPr>
          <w:p w14:paraId="552B9E47">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120</w:t>
            </w:r>
          </w:p>
        </w:tc>
        <w:tc>
          <w:tcPr>
            <w:tcW w:w="1134" w:type="dxa"/>
            <w:vAlign w:val="center"/>
          </w:tcPr>
          <w:p w14:paraId="225B737D">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110</w:t>
            </w:r>
          </w:p>
        </w:tc>
        <w:tc>
          <w:tcPr>
            <w:tcW w:w="1134" w:type="dxa"/>
            <w:vAlign w:val="center"/>
          </w:tcPr>
          <w:p w14:paraId="6006D47C">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54</w:t>
            </w:r>
          </w:p>
        </w:tc>
        <w:tc>
          <w:tcPr>
            <w:tcW w:w="1134" w:type="dxa"/>
            <w:vAlign w:val="center"/>
          </w:tcPr>
          <w:p w14:paraId="1BB7873D">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0.65</w:t>
            </w:r>
          </w:p>
        </w:tc>
        <w:tc>
          <w:tcPr>
            <w:tcW w:w="2835" w:type="dxa"/>
            <w:vAlign w:val="center"/>
          </w:tcPr>
          <w:p w14:paraId="3E9F09C5">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none</w:t>
            </w:r>
          </w:p>
        </w:tc>
      </w:tr>
      <w:tr w14:paraId="723758F2">
        <w:trPr>
          <w:jc w:val="center"/>
        </w:trPr>
        <w:tc>
          <w:tcPr>
            <w:tcW w:w="1474" w:type="dxa"/>
            <w:vAlign w:val="center"/>
          </w:tcPr>
          <w:p w14:paraId="7CC0ED3D">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case_04</w:t>
            </w:r>
          </w:p>
        </w:tc>
        <w:tc>
          <w:tcPr>
            <w:tcW w:w="964" w:type="dxa"/>
            <w:vAlign w:val="center"/>
          </w:tcPr>
          <w:p w14:paraId="7B35EBEA">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96</w:t>
            </w:r>
          </w:p>
        </w:tc>
        <w:tc>
          <w:tcPr>
            <w:tcW w:w="1134" w:type="dxa"/>
            <w:vAlign w:val="center"/>
          </w:tcPr>
          <w:p w14:paraId="6872E4D9">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105</w:t>
            </w:r>
          </w:p>
        </w:tc>
        <w:tc>
          <w:tcPr>
            <w:tcW w:w="1134" w:type="dxa"/>
            <w:vAlign w:val="center"/>
          </w:tcPr>
          <w:p w14:paraId="3A5B4CAD">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52</w:t>
            </w:r>
          </w:p>
        </w:tc>
        <w:tc>
          <w:tcPr>
            <w:tcW w:w="1134" w:type="dxa"/>
            <w:vAlign w:val="center"/>
          </w:tcPr>
          <w:p w14:paraId="2B33CA37">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0.75</w:t>
            </w:r>
          </w:p>
        </w:tc>
        <w:tc>
          <w:tcPr>
            <w:tcW w:w="2835" w:type="dxa"/>
            <w:vAlign w:val="center"/>
          </w:tcPr>
          <w:p w14:paraId="3797076A">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36:13:48:28;66:18:78:34</w:t>
            </w:r>
          </w:p>
        </w:tc>
      </w:tr>
      <w:tr w14:paraId="1CCEF58F">
        <w:trPr>
          <w:jc w:val="center"/>
        </w:trPr>
        <w:tc>
          <w:tcPr>
            <w:tcW w:w="1474" w:type="dxa"/>
            <w:vAlign w:val="center"/>
          </w:tcPr>
          <w:p w14:paraId="6F35A8C7">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case_05</w:t>
            </w:r>
          </w:p>
        </w:tc>
        <w:tc>
          <w:tcPr>
            <w:tcW w:w="964" w:type="dxa"/>
            <w:vAlign w:val="center"/>
          </w:tcPr>
          <w:p w14:paraId="1F95D81E">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100</w:t>
            </w:r>
          </w:p>
        </w:tc>
        <w:tc>
          <w:tcPr>
            <w:tcW w:w="1134" w:type="dxa"/>
            <w:vAlign w:val="center"/>
          </w:tcPr>
          <w:p w14:paraId="138C1268">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82</w:t>
            </w:r>
          </w:p>
        </w:tc>
        <w:tc>
          <w:tcPr>
            <w:tcW w:w="1134" w:type="dxa"/>
            <w:vAlign w:val="center"/>
          </w:tcPr>
          <w:p w14:paraId="556AB118">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38</w:t>
            </w:r>
          </w:p>
        </w:tc>
        <w:tc>
          <w:tcPr>
            <w:tcW w:w="1134" w:type="dxa"/>
            <w:vAlign w:val="center"/>
          </w:tcPr>
          <w:p w14:paraId="7E1F949D">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0.65</w:t>
            </w:r>
          </w:p>
        </w:tc>
        <w:tc>
          <w:tcPr>
            <w:tcW w:w="2835" w:type="dxa"/>
            <w:vAlign w:val="center"/>
          </w:tcPr>
          <w:p w14:paraId="06CB1E4D">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30:12:42:23</w:t>
            </w:r>
          </w:p>
        </w:tc>
      </w:tr>
    </w:tbl>
    <w:p w14:paraId="35BFF4DA">
      <w:pPr>
        <w:rPr>
          <w:color w:val="000000" w:themeColor="text1"/>
          <w14:textFill>
            <w14:solidFill>
              <w14:schemeClr w14:val="tx1"/>
            </w14:solidFill>
          </w14:textFill>
        </w:rPr>
      </w:pPr>
    </w:p>
    <w:p w14:paraId="6598E579">
      <w:pPr>
        <w:pStyle w:val="4"/>
        <w:spacing w:before="16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6.2 指标结果</w:t>
      </w:r>
    </w:p>
    <w:p w14:paraId="30B7AF7F">
      <w:pPr>
        <w:spacing w:before="120" w:after="80" w:line="320" w:lineRule="exact"/>
        <w:jc w:val="center"/>
        <w:rPr>
          <w:color w:val="000000" w:themeColor="text1"/>
          <w14:textFill>
            <w14:solidFill>
              <w14:schemeClr w14:val="tx1"/>
            </w14:solidFill>
          </w14:textFill>
        </w:rPr>
      </w:pPr>
      <w:r>
        <w:rPr>
          <w:rFonts w:ascii="Times New Roman" w:hAnsi="Times New Roman" w:eastAsia="宋体"/>
          <w:color w:val="000000" w:themeColor="text1"/>
          <w:sz w:val="21"/>
          <w14:textFill>
            <w14:solidFill>
              <w14:schemeClr w14:val="tx1"/>
            </w14:solidFill>
          </w14:textFill>
        </w:rPr>
        <w:t>表 6-2 不同算法实验结果对比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361"/>
        <w:gridCol w:w="1020"/>
        <w:gridCol w:w="1020"/>
        <w:gridCol w:w="1134"/>
        <w:gridCol w:w="1020"/>
        <w:gridCol w:w="1020"/>
        <w:gridCol w:w="794"/>
      </w:tblGrid>
      <w:tr w14:paraId="6CAFDAA0">
        <w:trPr>
          <w:tblHeader/>
          <w:jc w:val="center"/>
        </w:trPr>
        <w:tc>
          <w:tcPr>
            <w:tcW w:w="1134" w:type="dxa"/>
            <w:shd w:val="clear" w:color="auto" w:fill="EAF2F8"/>
            <w:vAlign w:val="center"/>
          </w:tcPr>
          <w:p w14:paraId="25DE457A">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案例</w:t>
            </w:r>
          </w:p>
        </w:tc>
        <w:tc>
          <w:tcPr>
            <w:tcW w:w="1361" w:type="dxa"/>
            <w:shd w:val="clear" w:color="auto" w:fill="EAF2F8"/>
            <w:vAlign w:val="center"/>
          </w:tcPr>
          <w:p w14:paraId="1BC12266">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算法</w:t>
            </w:r>
          </w:p>
        </w:tc>
        <w:tc>
          <w:tcPr>
            <w:tcW w:w="1020" w:type="dxa"/>
            <w:shd w:val="clear" w:color="auto" w:fill="EAF2F8"/>
            <w:vAlign w:val="center"/>
          </w:tcPr>
          <w:p w14:paraId="2B26E37B">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布通/%</w:t>
            </w:r>
          </w:p>
        </w:tc>
        <w:tc>
          <w:tcPr>
            <w:tcW w:w="1020" w:type="dxa"/>
            <w:shd w:val="clear" w:color="auto" w:fill="EAF2F8"/>
            <w:vAlign w:val="center"/>
          </w:tcPr>
          <w:p w14:paraId="5D9F38C8">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面积/%</w:t>
            </w:r>
          </w:p>
        </w:tc>
        <w:tc>
          <w:tcPr>
            <w:tcW w:w="1134" w:type="dxa"/>
            <w:shd w:val="clear" w:color="auto" w:fill="EAF2F8"/>
            <w:vAlign w:val="center"/>
          </w:tcPr>
          <w:p w14:paraId="3B33CF85">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线长/mm</w:t>
            </w:r>
          </w:p>
        </w:tc>
        <w:tc>
          <w:tcPr>
            <w:tcW w:w="1020" w:type="dxa"/>
            <w:shd w:val="clear" w:color="auto" w:fill="EAF2F8"/>
            <w:vAlign w:val="center"/>
          </w:tcPr>
          <w:p w14:paraId="465E4D23">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拥塞峰值</w:t>
            </w:r>
          </w:p>
        </w:tc>
        <w:tc>
          <w:tcPr>
            <w:tcW w:w="1020" w:type="dxa"/>
            <w:shd w:val="clear" w:color="auto" w:fill="EAF2F8"/>
            <w:vAlign w:val="center"/>
          </w:tcPr>
          <w:p w14:paraId="5C6A6070">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拥挤网格</w:t>
            </w:r>
          </w:p>
        </w:tc>
        <w:tc>
          <w:tcPr>
            <w:tcW w:w="794" w:type="dxa"/>
            <w:shd w:val="clear" w:color="auto" w:fill="EAF2F8"/>
            <w:vAlign w:val="center"/>
          </w:tcPr>
          <w:p w14:paraId="6FE478A8">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违规</w:t>
            </w:r>
          </w:p>
        </w:tc>
      </w:tr>
      <w:tr w14:paraId="08DFA2BC">
        <w:trPr>
          <w:jc w:val="center"/>
        </w:trPr>
        <w:tc>
          <w:tcPr>
            <w:tcW w:w="1134" w:type="dxa"/>
            <w:vAlign w:val="center"/>
          </w:tcPr>
          <w:p w14:paraId="26519E29">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case_01</w:t>
            </w:r>
          </w:p>
        </w:tc>
        <w:tc>
          <w:tcPr>
            <w:tcW w:w="1361" w:type="dxa"/>
            <w:vAlign w:val="center"/>
          </w:tcPr>
          <w:p w14:paraId="3C6F033D">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基线规则</w:t>
            </w:r>
          </w:p>
        </w:tc>
        <w:tc>
          <w:tcPr>
            <w:tcW w:w="1020" w:type="dxa"/>
            <w:vAlign w:val="center"/>
          </w:tcPr>
          <w:p w14:paraId="6C8E10F1">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100.00</w:t>
            </w:r>
          </w:p>
        </w:tc>
        <w:tc>
          <w:tcPr>
            <w:tcW w:w="1020" w:type="dxa"/>
            <w:vAlign w:val="center"/>
          </w:tcPr>
          <w:p w14:paraId="2B84131D">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48.15</w:t>
            </w:r>
          </w:p>
        </w:tc>
        <w:tc>
          <w:tcPr>
            <w:tcW w:w="1134" w:type="dxa"/>
            <w:vAlign w:val="center"/>
          </w:tcPr>
          <w:p w14:paraId="4F3A8980">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816.00</w:t>
            </w:r>
          </w:p>
        </w:tc>
        <w:tc>
          <w:tcPr>
            <w:tcW w:w="1020" w:type="dxa"/>
            <w:vAlign w:val="center"/>
          </w:tcPr>
          <w:p w14:paraId="3D429C43">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w:t>
            </w:r>
          </w:p>
        </w:tc>
        <w:tc>
          <w:tcPr>
            <w:tcW w:w="1020" w:type="dxa"/>
            <w:vAlign w:val="center"/>
          </w:tcPr>
          <w:p w14:paraId="4A416D01">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0</w:t>
            </w:r>
          </w:p>
        </w:tc>
        <w:tc>
          <w:tcPr>
            <w:tcW w:w="794" w:type="dxa"/>
            <w:vAlign w:val="center"/>
          </w:tcPr>
          <w:p w14:paraId="5977FC1D">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0</w:t>
            </w:r>
          </w:p>
        </w:tc>
      </w:tr>
      <w:tr w14:paraId="2CD9C72C">
        <w:trPr>
          <w:jc w:val="center"/>
        </w:trPr>
        <w:tc>
          <w:tcPr>
            <w:tcW w:w="1134" w:type="dxa"/>
            <w:vAlign w:val="center"/>
          </w:tcPr>
          <w:p w14:paraId="18F09896">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case_01</w:t>
            </w:r>
          </w:p>
        </w:tc>
        <w:tc>
          <w:tcPr>
            <w:tcW w:w="1361" w:type="dxa"/>
            <w:vAlign w:val="center"/>
          </w:tcPr>
          <w:p w14:paraId="361847A3">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K-means</w:t>
            </w:r>
          </w:p>
        </w:tc>
        <w:tc>
          <w:tcPr>
            <w:tcW w:w="1020" w:type="dxa"/>
            <w:vAlign w:val="center"/>
          </w:tcPr>
          <w:p w14:paraId="3CA49C01">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100.00</w:t>
            </w:r>
          </w:p>
        </w:tc>
        <w:tc>
          <w:tcPr>
            <w:tcW w:w="1020" w:type="dxa"/>
            <w:vAlign w:val="center"/>
          </w:tcPr>
          <w:p w14:paraId="3ECC2F56">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9.05</w:t>
            </w:r>
          </w:p>
        </w:tc>
        <w:tc>
          <w:tcPr>
            <w:tcW w:w="1134" w:type="dxa"/>
            <w:vAlign w:val="center"/>
          </w:tcPr>
          <w:p w14:paraId="7B9E63DE">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345.00</w:t>
            </w:r>
          </w:p>
        </w:tc>
        <w:tc>
          <w:tcPr>
            <w:tcW w:w="1020" w:type="dxa"/>
            <w:vAlign w:val="center"/>
          </w:tcPr>
          <w:p w14:paraId="16398F5D">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2</w:t>
            </w:r>
          </w:p>
        </w:tc>
        <w:tc>
          <w:tcPr>
            <w:tcW w:w="1020" w:type="dxa"/>
            <w:vAlign w:val="center"/>
          </w:tcPr>
          <w:p w14:paraId="154E34E3">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64</w:t>
            </w:r>
          </w:p>
        </w:tc>
        <w:tc>
          <w:tcPr>
            <w:tcW w:w="794" w:type="dxa"/>
            <w:vAlign w:val="center"/>
          </w:tcPr>
          <w:p w14:paraId="25F2ED94">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0</w:t>
            </w:r>
          </w:p>
        </w:tc>
      </w:tr>
      <w:tr w14:paraId="3EE70600">
        <w:trPr>
          <w:jc w:val="center"/>
        </w:trPr>
        <w:tc>
          <w:tcPr>
            <w:tcW w:w="1134" w:type="dxa"/>
            <w:vAlign w:val="center"/>
          </w:tcPr>
          <w:p w14:paraId="722FCD5A">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case_01</w:t>
            </w:r>
          </w:p>
        </w:tc>
        <w:tc>
          <w:tcPr>
            <w:tcW w:w="1361" w:type="dxa"/>
            <w:vAlign w:val="center"/>
          </w:tcPr>
          <w:p w14:paraId="607DC3D4">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PSO-Hanan</w:t>
            </w:r>
          </w:p>
        </w:tc>
        <w:tc>
          <w:tcPr>
            <w:tcW w:w="1020" w:type="dxa"/>
            <w:vAlign w:val="center"/>
          </w:tcPr>
          <w:p w14:paraId="5ABB709E">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100.00</w:t>
            </w:r>
          </w:p>
        </w:tc>
        <w:tc>
          <w:tcPr>
            <w:tcW w:w="1020" w:type="dxa"/>
            <w:vAlign w:val="center"/>
          </w:tcPr>
          <w:p w14:paraId="5900AE1E">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8.89</w:t>
            </w:r>
          </w:p>
        </w:tc>
        <w:tc>
          <w:tcPr>
            <w:tcW w:w="1134" w:type="dxa"/>
            <w:vAlign w:val="center"/>
          </w:tcPr>
          <w:p w14:paraId="119833B2">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323.00</w:t>
            </w:r>
          </w:p>
        </w:tc>
        <w:tc>
          <w:tcPr>
            <w:tcW w:w="1020" w:type="dxa"/>
            <w:vAlign w:val="center"/>
          </w:tcPr>
          <w:p w14:paraId="264AD7CA">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2</w:t>
            </w:r>
          </w:p>
        </w:tc>
        <w:tc>
          <w:tcPr>
            <w:tcW w:w="1020" w:type="dxa"/>
            <w:vAlign w:val="center"/>
          </w:tcPr>
          <w:p w14:paraId="4374D501">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8</w:t>
            </w:r>
          </w:p>
        </w:tc>
        <w:tc>
          <w:tcPr>
            <w:tcW w:w="794" w:type="dxa"/>
            <w:vAlign w:val="center"/>
          </w:tcPr>
          <w:p w14:paraId="7E9E81FE">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0</w:t>
            </w:r>
          </w:p>
        </w:tc>
      </w:tr>
      <w:tr w14:paraId="4CE0B6D4">
        <w:trPr>
          <w:jc w:val="center"/>
        </w:trPr>
        <w:tc>
          <w:tcPr>
            <w:tcW w:w="1134" w:type="dxa"/>
            <w:vAlign w:val="center"/>
          </w:tcPr>
          <w:p w14:paraId="7B07CC32">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case_01</w:t>
            </w:r>
          </w:p>
        </w:tc>
        <w:tc>
          <w:tcPr>
            <w:tcW w:w="1361" w:type="dxa"/>
            <w:vAlign w:val="center"/>
          </w:tcPr>
          <w:p w14:paraId="08B7C1F8">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拥塞重布线</w:t>
            </w:r>
          </w:p>
        </w:tc>
        <w:tc>
          <w:tcPr>
            <w:tcW w:w="1020" w:type="dxa"/>
            <w:vAlign w:val="center"/>
          </w:tcPr>
          <w:p w14:paraId="67C6535A">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100.00</w:t>
            </w:r>
          </w:p>
        </w:tc>
        <w:tc>
          <w:tcPr>
            <w:tcW w:w="1020" w:type="dxa"/>
            <w:vAlign w:val="center"/>
          </w:tcPr>
          <w:p w14:paraId="63BDB95A">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8.89</w:t>
            </w:r>
          </w:p>
        </w:tc>
        <w:tc>
          <w:tcPr>
            <w:tcW w:w="1134" w:type="dxa"/>
            <w:vAlign w:val="center"/>
          </w:tcPr>
          <w:p w14:paraId="1945BFAB">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327.00</w:t>
            </w:r>
          </w:p>
        </w:tc>
        <w:tc>
          <w:tcPr>
            <w:tcW w:w="1020" w:type="dxa"/>
            <w:vAlign w:val="center"/>
          </w:tcPr>
          <w:p w14:paraId="41962125">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2</w:t>
            </w:r>
          </w:p>
        </w:tc>
        <w:tc>
          <w:tcPr>
            <w:tcW w:w="1020" w:type="dxa"/>
            <w:vAlign w:val="center"/>
          </w:tcPr>
          <w:p w14:paraId="206CD3F6">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8</w:t>
            </w:r>
          </w:p>
        </w:tc>
        <w:tc>
          <w:tcPr>
            <w:tcW w:w="794" w:type="dxa"/>
            <w:vAlign w:val="center"/>
          </w:tcPr>
          <w:p w14:paraId="099190B1">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0</w:t>
            </w:r>
          </w:p>
        </w:tc>
      </w:tr>
      <w:tr w14:paraId="64F9600D">
        <w:trPr>
          <w:jc w:val="center"/>
        </w:trPr>
        <w:tc>
          <w:tcPr>
            <w:tcW w:w="1134" w:type="dxa"/>
            <w:vAlign w:val="center"/>
          </w:tcPr>
          <w:p w14:paraId="44EDEC05">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case_02</w:t>
            </w:r>
          </w:p>
        </w:tc>
        <w:tc>
          <w:tcPr>
            <w:tcW w:w="1361" w:type="dxa"/>
            <w:vAlign w:val="center"/>
          </w:tcPr>
          <w:p w14:paraId="04B36350">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基线规则</w:t>
            </w:r>
          </w:p>
        </w:tc>
        <w:tc>
          <w:tcPr>
            <w:tcW w:w="1020" w:type="dxa"/>
            <w:vAlign w:val="center"/>
          </w:tcPr>
          <w:p w14:paraId="41904ECF">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100.00</w:t>
            </w:r>
          </w:p>
        </w:tc>
        <w:tc>
          <w:tcPr>
            <w:tcW w:w="1020" w:type="dxa"/>
            <w:vAlign w:val="center"/>
          </w:tcPr>
          <w:p w14:paraId="7F29AE45">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58.33</w:t>
            </w:r>
          </w:p>
        </w:tc>
        <w:tc>
          <w:tcPr>
            <w:tcW w:w="1134" w:type="dxa"/>
            <w:vAlign w:val="center"/>
          </w:tcPr>
          <w:p w14:paraId="3EE39829">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1940.00</w:t>
            </w:r>
          </w:p>
        </w:tc>
        <w:tc>
          <w:tcPr>
            <w:tcW w:w="1020" w:type="dxa"/>
            <w:vAlign w:val="center"/>
          </w:tcPr>
          <w:p w14:paraId="73D6712A">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2</w:t>
            </w:r>
          </w:p>
        </w:tc>
        <w:tc>
          <w:tcPr>
            <w:tcW w:w="1020" w:type="dxa"/>
            <w:vAlign w:val="center"/>
          </w:tcPr>
          <w:p w14:paraId="28725982">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378</w:t>
            </w:r>
          </w:p>
        </w:tc>
        <w:tc>
          <w:tcPr>
            <w:tcW w:w="794" w:type="dxa"/>
            <w:vAlign w:val="center"/>
          </w:tcPr>
          <w:p w14:paraId="559B58F6">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0</w:t>
            </w:r>
          </w:p>
        </w:tc>
      </w:tr>
      <w:tr w14:paraId="7055530E">
        <w:trPr>
          <w:jc w:val="center"/>
        </w:trPr>
        <w:tc>
          <w:tcPr>
            <w:tcW w:w="1134" w:type="dxa"/>
            <w:vAlign w:val="center"/>
          </w:tcPr>
          <w:p w14:paraId="6C03CA88">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case_02</w:t>
            </w:r>
          </w:p>
        </w:tc>
        <w:tc>
          <w:tcPr>
            <w:tcW w:w="1361" w:type="dxa"/>
            <w:vAlign w:val="center"/>
          </w:tcPr>
          <w:p w14:paraId="78BD0C86">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K-means</w:t>
            </w:r>
          </w:p>
        </w:tc>
        <w:tc>
          <w:tcPr>
            <w:tcW w:w="1020" w:type="dxa"/>
            <w:vAlign w:val="center"/>
          </w:tcPr>
          <w:p w14:paraId="155FC5DD">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100.00</w:t>
            </w:r>
          </w:p>
        </w:tc>
        <w:tc>
          <w:tcPr>
            <w:tcW w:w="1020" w:type="dxa"/>
            <w:vAlign w:val="center"/>
          </w:tcPr>
          <w:p w14:paraId="530487FC">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12.15</w:t>
            </w:r>
          </w:p>
        </w:tc>
        <w:tc>
          <w:tcPr>
            <w:tcW w:w="1134" w:type="dxa"/>
            <w:vAlign w:val="center"/>
          </w:tcPr>
          <w:p w14:paraId="29A1BB93">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774.00</w:t>
            </w:r>
          </w:p>
        </w:tc>
        <w:tc>
          <w:tcPr>
            <w:tcW w:w="1020" w:type="dxa"/>
            <w:vAlign w:val="center"/>
          </w:tcPr>
          <w:p w14:paraId="7EF0E518">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4</w:t>
            </w:r>
          </w:p>
        </w:tc>
        <w:tc>
          <w:tcPr>
            <w:tcW w:w="1020" w:type="dxa"/>
            <w:vAlign w:val="center"/>
          </w:tcPr>
          <w:p w14:paraId="4A8ED314">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237</w:t>
            </w:r>
          </w:p>
        </w:tc>
        <w:tc>
          <w:tcPr>
            <w:tcW w:w="794" w:type="dxa"/>
            <w:vAlign w:val="center"/>
          </w:tcPr>
          <w:p w14:paraId="674CC9DF">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0</w:t>
            </w:r>
          </w:p>
        </w:tc>
      </w:tr>
      <w:tr w14:paraId="406A8B2A">
        <w:trPr>
          <w:jc w:val="center"/>
        </w:trPr>
        <w:tc>
          <w:tcPr>
            <w:tcW w:w="1134" w:type="dxa"/>
            <w:vAlign w:val="center"/>
          </w:tcPr>
          <w:p w14:paraId="3FA5902D">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case_02</w:t>
            </w:r>
          </w:p>
        </w:tc>
        <w:tc>
          <w:tcPr>
            <w:tcW w:w="1361" w:type="dxa"/>
            <w:vAlign w:val="center"/>
          </w:tcPr>
          <w:p w14:paraId="1DADE320">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PSO-Hanan</w:t>
            </w:r>
          </w:p>
        </w:tc>
        <w:tc>
          <w:tcPr>
            <w:tcW w:w="1020" w:type="dxa"/>
            <w:vAlign w:val="center"/>
          </w:tcPr>
          <w:p w14:paraId="188A049C">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100.00</w:t>
            </w:r>
          </w:p>
        </w:tc>
        <w:tc>
          <w:tcPr>
            <w:tcW w:w="1020" w:type="dxa"/>
            <w:vAlign w:val="center"/>
          </w:tcPr>
          <w:p w14:paraId="63FB7EFB">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12.85</w:t>
            </w:r>
          </w:p>
        </w:tc>
        <w:tc>
          <w:tcPr>
            <w:tcW w:w="1134" w:type="dxa"/>
            <w:vAlign w:val="center"/>
          </w:tcPr>
          <w:p w14:paraId="466DB032">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723.00</w:t>
            </w:r>
          </w:p>
        </w:tc>
        <w:tc>
          <w:tcPr>
            <w:tcW w:w="1020" w:type="dxa"/>
            <w:vAlign w:val="center"/>
          </w:tcPr>
          <w:p w14:paraId="6BCF0EB3">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3</w:t>
            </w:r>
          </w:p>
        </w:tc>
        <w:tc>
          <w:tcPr>
            <w:tcW w:w="1020" w:type="dxa"/>
            <w:vAlign w:val="center"/>
          </w:tcPr>
          <w:p w14:paraId="1EEDCFE1">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255</w:t>
            </w:r>
          </w:p>
        </w:tc>
        <w:tc>
          <w:tcPr>
            <w:tcW w:w="794" w:type="dxa"/>
            <w:vAlign w:val="center"/>
          </w:tcPr>
          <w:p w14:paraId="66F93166">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0</w:t>
            </w:r>
          </w:p>
        </w:tc>
      </w:tr>
      <w:tr w14:paraId="435BCB8F">
        <w:trPr>
          <w:jc w:val="center"/>
        </w:trPr>
        <w:tc>
          <w:tcPr>
            <w:tcW w:w="1134" w:type="dxa"/>
            <w:vAlign w:val="center"/>
          </w:tcPr>
          <w:p w14:paraId="4CE166C1">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case_02</w:t>
            </w:r>
          </w:p>
        </w:tc>
        <w:tc>
          <w:tcPr>
            <w:tcW w:w="1361" w:type="dxa"/>
            <w:vAlign w:val="center"/>
          </w:tcPr>
          <w:p w14:paraId="00353B4C">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拥塞重布线</w:t>
            </w:r>
          </w:p>
        </w:tc>
        <w:tc>
          <w:tcPr>
            <w:tcW w:w="1020" w:type="dxa"/>
            <w:vAlign w:val="center"/>
          </w:tcPr>
          <w:p w14:paraId="542C37D8">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100.00</w:t>
            </w:r>
          </w:p>
        </w:tc>
        <w:tc>
          <w:tcPr>
            <w:tcW w:w="1020" w:type="dxa"/>
            <w:vAlign w:val="center"/>
          </w:tcPr>
          <w:p w14:paraId="0EB1D0F8">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12.85</w:t>
            </w:r>
          </w:p>
        </w:tc>
        <w:tc>
          <w:tcPr>
            <w:tcW w:w="1134" w:type="dxa"/>
            <w:vAlign w:val="center"/>
          </w:tcPr>
          <w:p w14:paraId="15A80250">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763.00</w:t>
            </w:r>
          </w:p>
        </w:tc>
        <w:tc>
          <w:tcPr>
            <w:tcW w:w="1020" w:type="dxa"/>
            <w:vAlign w:val="center"/>
          </w:tcPr>
          <w:p w14:paraId="7471E751">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3</w:t>
            </w:r>
          </w:p>
        </w:tc>
        <w:tc>
          <w:tcPr>
            <w:tcW w:w="1020" w:type="dxa"/>
            <w:vAlign w:val="center"/>
          </w:tcPr>
          <w:p w14:paraId="15220CBF">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185</w:t>
            </w:r>
          </w:p>
        </w:tc>
        <w:tc>
          <w:tcPr>
            <w:tcW w:w="794" w:type="dxa"/>
            <w:vAlign w:val="center"/>
          </w:tcPr>
          <w:p w14:paraId="67A84EFC">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0</w:t>
            </w:r>
          </w:p>
        </w:tc>
      </w:tr>
      <w:tr w14:paraId="1F2F3FD1">
        <w:trPr>
          <w:jc w:val="center"/>
        </w:trPr>
        <w:tc>
          <w:tcPr>
            <w:tcW w:w="1134" w:type="dxa"/>
            <w:vAlign w:val="center"/>
          </w:tcPr>
          <w:p w14:paraId="7A177EBD">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case_03</w:t>
            </w:r>
          </w:p>
        </w:tc>
        <w:tc>
          <w:tcPr>
            <w:tcW w:w="1361" w:type="dxa"/>
            <w:vAlign w:val="center"/>
          </w:tcPr>
          <w:p w14:paraId="781E9085">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基线规则</w:t>
            </w:r>
          </w:p>
        </w:tc>
        <w:tc>
          <w:tcPr>
            <w:tcW w:w="1020" w:type="dxa"/>
            <w:vAlign w:val="center"/>
          </w:tcPr>
          <w:p w14:paraId="702EA508">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100.00</w:t>
            </w:r>
          </w:p>
        </w:tc>
        <w:tc>
          <w:tcPr>
            <w:tcW w:w="1020" w:type="dxa"/>
            <w:vAlign w:val="center"/>
          </w:tcPr>
          <w:p w14:paraId="498D23B0">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63.00</w:t>
            </w:r>
          </w:p>
        </w:tc>
        <w:tc>
          <w:tcPr>
            <w:tcW w:w="1134" w:type="dxa"/>
            <w:vAlign w:val="center"/>
          </w:tcPr>
          <w:p w14:paraId="0784CEB6">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3240.00</w:t>
            </w:r>
          </w:p>
        </w:tc>
        <w:tc>
          <w:tcPr>
            <w:tcW w:w="1020" w:type="dxa"/>
            <w:vAlign w:val="center"/>
          </w:tcPr>
          <w:p w14:paraId="1A6B7E4F">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2</w:t>
            </w:r>
          </w:p>
        </w:tc>
        <w:tc>
          <w:tcPr>
            <w:tcW w:w="1020" w:type="dxa"/>
            <w:vAlign w:val="center"/>
          </w:tcPr>
          <w:p w14:paraId="40344991">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1076</w:t>
            </w:r>
          </w:p>
        </w:tc>
        <w:tc>
          <w:tcPr>
            <w:tcW w:w="794" w:type="dxa"/>
            <w:vAlign w:val="center"/>
          </w:tcPr>
          <w:p w14:paraId="1AAC765D">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0</w:t>
            </w:r>
          </w:p>
        </w:tc>
      </w:tr>
      <w:tr w14:paraId="79890F0E">
        <w:trPr>
          <w:jc w:val="center"/>
        </w:trPr>
        <w:tc>
          <w:tcPr>
            <w:tcW w:w="1134" w:type="dxa"/>
            <w:vAlign w:val="center"/>
          </w:tcPr>
          <w:p w14:paraId="36029376">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case_03</w:t>
            </w:r>
          </w:p>
        </w:tc>
        <w:tc>
          <w:tcPr>
            <w:tcW w:w="1361" w:type="dxa"/>
            <w:vAlign w:val="center"/>
          </w:tcPr>
          <w:p w14:paraId="1131C80A">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K-means</w:t>
            </w:r>
          </w:p>
        </w:tc>
        <w:tc>
          <w:tcPr>
            <w:tcW w:w="1020" w:type="dxa"/>
            <w:vAlign w:val="center"/>
          </w:tcPr>
          <w:p w14:paraId="595B8655">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100.00</w:t>
            </w:r>
          </w:p>
        </w:tc>
        <w:tc>
          <w:tcPr>
            <w:tcW w:w="1020" w:type="dxa"/>
            <w:vAlign w:val="center"/>
          </w:tcPr>
          <w:p w14:paraId="2580182C">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15.32</w:t>
            </w:r>
          </w:p>
        </w:tc>
        <w:tc>
          <w:tcPr>
            <w:tcW w:w="1134" w:type="dxa"/>
            <w:vAlign w:val="center"/>
          </w:tcPr>
          <w:p w14:paraId="529A1053">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1247.00</w:t>
            </w:r>
          </w:p>
        </w:tc>
        <w:tc>
          <w:tcPr>
            <w:tcW w:w="1020" w:type="dxa"/>
            <w:vAlign w:val="center"/>
          </w:tcPr>
          <w:p w14:paraId="741704E4">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5</w:t>
            </w:r>
          </w:p>
        </w:tc>
        <w:tc>
          <w:tcPr>
            <w:tcW w:w="1020" w:type="dxa"/>
            <w:vAlign w:val="center"/>
          </w:tcPr>
          <w:p w14:paraId="578239FF">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381</w:t>
            </w:r>
          </w:p>
        </w:tc>
        <w:tc>
          <w:tcPr>
            <w:tcW w:w="794" w:type="dxa"/>
            <w:vAlign w:val="center"/>
          </w:tcPr>
          <w:p w14:paraId="43B7253D">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0</w:t>
            </w:r>
          </w:p>
        </w:tc>
      </w:tr>
      <w:tr w14:paraId="0500F686">
        <w:trPr>
          <w:jc w:val="center"/>
        </w:trPr>
        <w:tc>
          <w:tcPr>
            <w:tcW w:w="1134" w:type="dxa"/>
            <w:vAlign w:val="center"/>
          </w:tcPr>
          <w:p w14:paraId="213A88B2">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case_03</w:t>
            </w:r>
          </w:p>
        </w:tc>
        <w:tc>
          <w:tcPr>
            <w:tcW w:w="1361" w:type="dxa"/>
            <w:vAlign w:val="center"/>
          </w:tcPr>
          <w:p w14:paraId="006FFA7B">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PSO-Hanan</w:t>
            </w:r>
          </w:p>
        </w:tc>
        <w:tc>
          <w:tcPr>
            <w:tcW w:w="1020" w:type="dxa"/>
            <w:vAlign w:val="center"/>
          </w:tcPr>
          <w:p w14:paraId="0061D6ED">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100.00</w:t>
            </w:r>
          </w:p>
        </w:tc>
        <w:tc>
          <w:tcPr>
            <w:tcW w:w="1020" w:type="dxa"/>
            <w:vAlign w:val="center"/>
          </w:tcPr>
          <w:p w14:paraId="436E8499">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14.98</w:t>
            </w:r>
          </w:p>
        </w:tc>
        <w:tc>
          <w:tcPr>
            <w:tcW w:w="1134" w:type="dxa"/>
            <w:vAlign w:val="center"/>
          </w:tcPr>
          <w:p w14:paraId="00109C14">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1128.00</w:t>
            </w:r>
          </w:p>
        </w:tc>
        <w:tc>
          <w:tcPr>
            <w:tcW w:w="1020" w:type="dxa"/>
            <w:vAlign w:val="center"/>
          </w:tcPr>
          <w:p w14:paraId="7C5EC1F5">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3</w:t>
            </w:r>
          </w:p>
        </w:tc>
        <w:tc>
          <w:tcPr>
            <w:tcW w:w="1020" w:type="dxa"/>
            <w:vAlign w:val="center"/>
          </w:tcPr>
          <w:p w14:paraId="24C25D14">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390</w:t>
            </w:r>
          </w:p>
        </w:tc>
        <w:tc>
          <w:tcPr>
            <w:tcW w:w="794" w:type="dxa"/>
            <w:vAlign w:val="center"/>
          </w:tcPr>
          <w:p w14:paraId="1A34CBCA">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0</w:t>
            </w:r>
          </w:p>
        </w:tc>
      </w:tr>
      <w:tr w14:paraId="143E478B">
        <w:trPr>
          <w:jc w:val="center"/>
        </w:trPr>
        <w:tc>
          <w:tcPr>
            <w:tcW w:w="1134" w:type="dxa"/>
            <w:vAlign w:val="center"/>
          </w:tcPr>
          <w:p w14:paraId="1BE7C192">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case_03</w:t>
            </w:r>
          </w:p>
        </w:tc>
        <w:tc>
          <w:tcPr>
            <w:tcW w:w="1361" w:type="dxa"/>
            <w:vAlign w:val="center"/>
          </w:tcPr>
          <w:p w14:paraId="60EF9AFE">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拥塞重布线</w:t>
            </w:r>
          </w:p>
        </w:tc>
        <w:tc>
          <w:tcPr>
            <w:tcW w:w="1020" w:type="dxa"/>
            <w:vAlign w:val="center"/>
          </w:tcPr>
          <w:p w14:paraId="186F923D">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100.00</w:t>
            </w:r>
          </w:p>
        </w:tc>
        <w:tc>
          <w:tcPr>
            <w:tcW w:w="1020" w:type="dxa"/>
            <w:vAlign w:val="center"/>
          </w:tcPr>
          <w:p w14:paraId="3AF95DA3">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14.98</w:t>
            </w:r>
          </w:p>
        </w:tc>
        <w:tc>
          <w:tcPr>
            <w:tcW w:w="1134" w:type="dxa"/>
            <w:vAlign w:val="center"/>
          </w:tcPr>
          <w:p w14:paraId="1DD23A95">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1210.00</w:t>
            </w:r>
          </w:p>
        </w:tc>
        <w:tc>
          <w:tcPr>
            <w:tcW w:w="1020" w:type="dxa"/>
            <w:vAlign w:val="center"/>
          </w:tcPr>
          <w:p w14:paraId="1A074B26">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3</w:t>
            </w:r>
          </w:p>
        </w:tc>
        <w:tc>
          <w:tcPr>
            <w:tcW w:w="1020" w:type="dxa"/>
            <w:vAlign w:val="center"/>
          </w:tcPr>
          <w:p w14:paraId="3D45F64E">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416</w:t>
            </w:r>
          </w:p>
        </w:tc>
        <w:tc>
          <w:tcPr>
            <w:tcW w:w="794" w:type="dxa"/>
            <w:vAlign w:val="center"/>
          </w:tcPr>
          <w:p w14:paraId="3A72D2BA">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0</w:t>
            </w:r>
          </w:p>
        </w:tc>
      </w:tr>
      <w:tr w14:paraId="5628E7C1">
        <w:trPr>
          <w:jc w:val="center"/>
        </w:trPr>
        <w:tc>
          <w:tcPr>
            <w:tcW w:w="1134" w:type="dxa"/>
            <w:vAlign w:val="center"/>
          </w:tcPr>
          <w:p w14:paraId="4541D5D0">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case_04</w:t>
            </w:r>
          </w:p>
        </w:tc>
        <w:tc>
          <w:tcPr>
            <w:tcW w:w="1361" w:type="dxa"/>
            <w:vAlign w:val="center"/>
          </w:tcPr>
          <w:p w14:paraId="02F48A99">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基线规则</w:t>
            </w:r>
          </w:p>
        </w:tc>
        <w:tc>
          <w:tcPr>
            <w:tcW w:w="1020" w:type="dxa"/>
            <w:vAlign w:val="center"/>
          </w:tcPr>
          <w:p w14:paraId="75635018">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84.38</w:t>
            </w:r>
          </w:p>
        </w:tc>
        <w:tc>
          <w:tcPr>
            <w:tcW w:w="1020" w:type="dxa"/>
            <w:vAlign w:val="center"/>
          </w:tcPr>
          <w:p w14:paraId="135EBB89">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60.64</w:t>
            </w:r>
          </w:p>
        </w:tc>
        <w:tc>
          <w:tcPr>
            <w:tcW w:w="1134" w:type="dxa"/>
            <w:vAlign w:val="center"/>
          </w:tcPr>
          <w:p w14:paraId="500AE408">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2249.00</w:t>
            </w:r>
          </w:p>
        </w:tc>
        <w:tc>
          <w:tcPr>
            <w:tcW w:w="1020" w:type="dxa"/>
            <w:vAlign w:val="center"/>
          </w:tcPr>
          <w:p w14:paraId="41DD5E01">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7</w:t>
            </w:r>
          </w:p>
        </w:tc>
        <w:tc>
          <w:tcPr>
            <w:tcW w:w="1020" w:type="dxa"/>
            <w:vAlign w:val="center"/>
          </w:tcPr>
          <w:p w14:paraId="00F14A10">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531</w:t>
            </w:r>
          </w:p>
        </w:tc>
        <w:tc>
          <w:tcPr>
            <w:tcW w:w="794" w:type="dxa"/>
            <w:vAlign w:val="center"/>
          </w:tcPr>
          <w:p w14:paraId="04E6ED03">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15</w:t>
            </w:r>
          </w:p>
        </w:tc>
      </w:tr>
      <w:tr w14:paraId="29E37603">
        <w:trPr>
          <w:jc w:val="center"/>
        </w:trPr>
        <w:tc>
          <w:tcPr>
            <w:tcW w:w="1134" w:type="dxa"/>
            <w:vAlign w:val="center"/>
          </w:tcPr>
          <w:p w14:paraId="39FB89D2">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case_04</w:t>
            </w:r>
          </w:p>
        </w:tc>
        <w:tc>
          <w:tcPr>
            <w:tcW w:w="1361" w:type="dxa"/>
            <w:vAlign w:val="center"/>
          </w:tcPr>
          <w:p w14:paraId="4B861AF5">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K-means</w:t>
            </w:r>
          </w:p>
        </w:tc>
        <w:tc>
          <w:tcPr>
            <w:tcW w:w="1020" w:type="dxa"/>
            <w:vAlign w:val="center"/>
          </w:tcPr>
          <w:p w14:paraId="109E5258">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100.00</w:t>
            </w:r>
          </w:p>
        </w:tc>
        <w:tc>
          <w:tcPr>
            <w:tcW w:w="1020" w:type="dxa"/>
            <w:vAlign w:val="center"/>
          </w:tcPr>
          <w:p w14:paraId="52408CCF">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14.84</w:t>
            </w:r>
          </w:p>
        </w:tc>
        <w:tc>
          <w:tcPr>
            <w:tcW w:w="1134" w:type="dxa"/>
            <w:vAlign w:val="center"/>
          </w:tcPr>
          <w:p w14:paraId="008A7774">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972.00</w:t>
            </w:r>
          </w:p>
        </w:tc>
        <w:tc>
          <w:tcPr>
            <w:tcW w:w="1020" w:type="dxa"/>
            <w:vAlign w:val="center"/>
          </w:tcPr>
          <w:p w14:paraId="7446B8B8">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4</w:t>
            </w:r>
          </w:p>
        </w:tc>
        <w:tc>
          <w:tcPr>
            <w:tcW w:w="1020" w:type="dxa"/>
            <w:vAlign w:val="center"/>
          </w:tcPr>
          <w:p w14:paraId="7431CC19">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318</w:t>
            </w:r>
          </w:p>
        </w:tc>
        <w:tc>
          <w:tcPr>
            <w:tcW w:w="794" w:type="dxa"/>
            <w:vAlign w:val="center"/>
          </w:tcPr>
          <w:p w14:paraId="064B83B3">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0</w:t>
            </w:r>
          </w:p>
        </w:tc>
      </w:tr>
      <w:tr w14:paraId="01F402CC">
        <w:trPr>
          <w:jc w:val="center"/>
        </w:trPr>
        <w:tc>
          <w:tcPr>
            <w:tcW w:w="1134" w:type="dxa"/>
            <w:vAlign w:val="center"/>
          </w:tcPr>
          <w:p w14:paraId="7EEC6683">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case_04</w:t>
            </w:r>
          </w:p>
        </w:tc>
        <w:tc>
          <w:tcPr>
            <w:tcW w:w="1361" w:type="dxa"/>
            <w:vAlign w:val="center"/>
          </w:tcPr>
          <w:p w14:paraId="1F12E890">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PSO-Hanan</w:t>
            </w:r>
          </w:p>
        </w:tc>
        <w:tc>
          <w:tcPr>
            <w:tcW w:w="1020" w:type="dxa"/>
            <w:vAlign w:val="center"/>
          </w:tcPr>
          <w:p w14:paraId="52150A2E">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100.00</w:t>
            </w:r>
          </w:p>
        </w:tc>
        <w:tc>
          <w:tcPr>
            <w:tcW w:w="1020" w:type="dxa"/>
            <w:vAlign w:val="center"/>
          </w:tcPr>
          <w:p w14:paraId="3A16F763">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11.72</w:t>
            </w:r>
          </w:p>
        </w:tc>
        <w:tc>
          <w:tcPr>
            <w:tcW w:w="1134" w:type="dxa"/>
            <w:vAlign w:val="center"/>
          </w:tcPr>
          <w:p w14:paraId="75B5FE17">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858.00</w:t>
            </w:r>
          </w:p>
        </w:tc>
        <w:tc>
          <w:tcPr>
            <w:tcW w:w="1020" w:type="dxa"/>
            <w:vAlign w:val="center"/>
          </w:tcPr>
          <w:p w14:paraId="62F34123">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3</w:t>
            </w:r>
          </w:p>
        </w:tc>
        <w:tc>
          <w:tcPr>
            <w:tcW w:w="1020" w:type="dxa"/>
            <w:vAlign w:val="center"/>
          </w:tcPr>
          <w:p w14:paraId="371526F1">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243</w:t>
            </w:r>
          </w:p>
        </w:tc>
        <w:tc>
          <w:tcPr>
            <w:tcW w:w="794" w:type="dxa"/>
            <w:vAlign w:val="center"/>
          </w:tcPr>
          <w:p w14:paraId="1A8553C3">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0</w:t>
            </w:r>
          </w:p>
        </w:tc>
      </w:tr>
      <w:tr w14:paraId="78F833EF">
        <w:trPr>
          <w:jc w:val="center"/>
        </w:trPr>
        <w:tc>
          <w:tcPr>
            <w:tcW w:w="1134" w:type="dxa"/>
            <w:vAlign w:val="center"/>
          </w:tcPr>
          <w:p w14:paraId="5F5B47C0">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case_04</w:t>
            </w:r>
          </w:p>
        </w:tc>
        <w:tc>
          <w:tcPr>
            <w:tcW w:w="1361" w:type="dxa"/>
            <w:vAlign w:val="center"/>
          </w:tcPr>
          <w:p w14:paraId="228CDD8C">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拥塞重布线</w:t>
            </w:r>
          </w:p>
        </w:tc>
        <w:tc>
          <w:tcPr>
            <w:tcW w:w="1020" w:type="dxa"/>
            <w:vAlign w:val="center"/>
          </w:tcPr>
          <w:p w14:paraId="6CB79700">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100.00</w:t>
            </w:r>
          </w:p>
        </w:tc>
        <w:tc>
          <w:tcPr>
            <w:tcW w:w="1020" w:type="dxa"/>
            <w:vAlign w:val="center"/>
          </w:tcPr>
          <w:p w14:paraId="655EDF65">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11.72</w:t>
            </w:r>
          </w:p>
        </w:tc>
        <w:tc>
          <w:tcPr>
            <w:tcW w:w="1134" w:type="dxa"/>
            <w:vAlign w:val="center"/>
          </w:tcPr>
          <w:p w14:paraId="6C101291">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908.00</w:t>
            </w:r>
          </w:p>
        </w:tc>
        <w:tc>
          <w:tcPr>
            <w:tcW w:w="1020" w:type="dxa"/>
            <w:vAlign w:val="center"/>
          </w:tcPr>
          <w:p w14:paraId="140204E0">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3</w:t>
            </w:r>
          </w:p>
        </w:tc>
        <w:tc>
          <w:tcPr>
            <w:tcW w:w="1020" w:type="dxa"/>
            <w:vAlign w:val="center"/>
          </w:tcPr>
          <w:p w14:paraId="38E4CA42">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244</w:t>
            </w:r>
          </w:p>
        </w:tc>
        <w:tc>
          <w:tcPr>
            <w:tcW w:w="794" w:type="dxa"/>
            <w:vAlign w:val="center"/>
          </w:tcPr>
          <w:p w14:paraId="1DFACFA2">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0</w:t>
            </w:r>
          </w:p>
        </w:tc>
      </w:tr>
      <w:tr w14:paraId="76FE4349">
        <w:trPr>
          <w:jc w:val="center"/>
        </w:trPr>
        <w:tc>
          <w:tcPr>
            <w:tcW w:w="1134" w:type="dxa"/>
            <w:vAlign w:val="center"/>
          </w:tcPr>
          <w:p w14:paraId="111032D8">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case_05</w:t>
            </w:r>
          </w:p>
        </w:tc>
        <w:tc>
          <w:tcPr>
            <w:tcW w:w="1361" w:type="dxa"/>
            <w:vAlign w:val="center"/>
          </w:tcPr>
          <w:p w14:paraId="417DB49E">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基线规则</w:t>
            </w:r>
          </w:p>
        </w:tc>
        <w:tc>
          <w:tcPr>
            <w:tcW w:w="1020" w:type="dxa"/>
            <w:vAlign w:val="center"/>
          </w:tcPr>
          <w:p w14:paraId="74549606">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89.00</w:t>
            </w:r>
          </w:p>
        </w:tc>
        <w:tc>
          <w:tcPr>
            <w:tcW w:w="1020" w:type="dxa"/>
            <w:vAlign w:val="center"/>
          </w:tcPr>
          <w:p w14:paraId="74562001">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65.81</w:t>
            </w:r>
          </w:p>
        </w:tc>
        <w:tc>
          <w:tcPr>
            <w:tcW w:w="1134" w:type="dxa"/>
            <w:vAlign w:val="center"/>
          </w:tcPr>
          <w:p w14:paraId="675C25E8">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1827.00</w:t>
            </w:r>
          </w:p>
        </w:tc>
        <w:tc>
          <w:tcPr>
            <w:tcW w:w="1020" w:type="dxa"/>
            <w:vAlign w:val="center"/>
          </w:tcPr>
          <w:p w14:paraId="58148B64">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6</w:t>
            </w:r>
          </w:p>
        </w:tc>
        <w:tc>
          <w:tcPr>
            <w:tcW w:w="1020" w:type="dxa"/>
            <w:vAlign w:val="center"/>
          </w:tcPr>
          <w:p w14:paraId="0FB010A2">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587</w:t>
            </w:r>
          </w:p>
        </w:tc>
        <w:tc>
          <w:tcPr>
            <w:tcW w:w="794" w:type="dxa"/>
            <w:vAlign w:val="center"/>
          </w:tcPr>
          <w:p w14:paraId="7C118EEF">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11</w:t>
            </w:r>
          </w:p>
        </w:tc>
      </w:tr>
      <w:tr w14:paraId="2B7F0B77">
        <w:trPr>
          <w:jc w:val="center"/>
        </w:trPr>
        <w:tc>
          <w:tcPr>
            <w:tcW w:w="1134" w:type="dxa"/>
            <w:vAlign w:val="center"/>
          </w:tcPr>
          <w:p w14:paraId="54219C5E">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case_05</w:t>
            </w:r>
          </w:p>
        </w:tc>
        <w:tc>
          <w:tcPr>
            <w:tcW w:w="1361" w:type="dxa"/>
            <w:vAlign w:val="center"/>
          </w:tcPr>
          <w:p w14:paraId="25D589A5">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K-means</w:t>
            </w:r>
          </w:p>
        </w:tc>
        <w:tc>
          <w:tcPr>
            <w:tcW w:w="1020" w:type="dxa"/>
            <w:vAlign w:val="center"/>
          </w:tcPr>
          <w:p w14:paraId="1E3FA50D">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100.00</w:t>
            </w:r>
          </w:p>
        </w:tc>
        <w:tc>
          <w:tcPr>
            <w:tcW w:w="1020" w:type="dxa"/>
            <w:vAlign w:val="center"/>
          </w:tcPr>
          <w:p w14:paraId="4BB316AF">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26.12</w:t>
            </w:r>
          </w:p>
        </w:tc>
        <w:tc>
          <w:tcPr>
            <w:tcW w:w="1134" w:type="dxa"/>
            <w:vAlign w:val="center"/>
          </w:tcPr>
          <w:p w14:paraId="5ADAAC1D">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1059.00</w:t>
            </w:r>
          </w:p>
        </w:tc>
        <w:tc>
          <w:tcPr>
            <w:tcW w:w="1020" w:type="dxa"/>
            <w:vAlign w:val="center"/>
          </w:tcPr>
          <w:p w14:paraId="007797B4">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5</w:t>
            </w:r>
          </w:p>
        </w:tc>
        <w:tc>
          <w:tcPr>
            <w:tcW w:w="1020" w:type="dxa"/>
            <w:vAlign w:val="center"/>
          </w:tcPr>
          <w:p w14:paraId="02455C0B">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364</w:t>
            </w:r>
          </w:p>
        </w:tc>
        <w:tc>
          <w:tcPr>
            <w:tcW w:w="794" w:type="dxa"/>
            <w:vAlign w:val="center"/>
          </w:tcPr>
          <w:p w14:paraId="084FC025">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0</w:t>
            </w:r>
          </w:p>
        </w:tc>
      </w:tr>
      <w:tr w14:paraId="627739FB">
        <w:trPr>
          <w:jc w:val="center"/>
        </w:trPr>
        <w:tc>
          <w:tcPr>
            <w:tcW w:w="1134" w:type="dxa"/>
            <w:vAlign w:val="center"/>
          </w:tcPr>
          <w:p w14:paraId="591E788E">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case_05</w:t>
            </w:r>
          </w:p>
        </w:tc>
        <w:tc>
          <w:tcPr>
            <w:tcW w:w="1361" w:type="dxa"/>
            <w:vAlign w:val="center"/>
          </w:tcPr>
          <w:p w14:paraId="65BF87B8">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PSO-Hanan</w:t>
            </w:r>
          </w:p>
        </w:tc>
        <w:tc>
          <w:tcPr>
            <w:tcW w:w="1020" w:type="dxa"/>
            <w:vAlign w:val="center"/>
          </w:tcPr>
          <w:p w14:paraId="05F8B439">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100.00</w:t>
            </w:r>
          </w:p>
        </w:tc>
        <w:tc>
          <w:tcPr>
            <w:tcW w:w="1020" w:type="dxa"/>
            <w:vAlign w:val="center"/>
          </w:tcPr>
          <w:p w14:paraId="02E52EA6">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24.39</w:t>
            </w:r>
          </w:p>
        </w:tc>
        <w:tc>
          <w:tcPr>
            <w:tcW w:w="1134" w:type="dxa"/>
            <w:vAlign w:val="center"/>
          </w:tcPr>
          <w:p w14:paraId="7B9FD5B5">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951.00</w:t>
            </w:r>
          </w:p>
        </w:tc>
        <w:tc>
          <w:tcPr>
            <w:tcW w:w="1020" w:type="dxa"/>
            <w:vAlign w:val="center"/>
          </w:tcPr>
          <w:p w14:paraId="552CA0AE">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4</w:t>
            </w:r>
          </w:p>
        </w:tc>
        <w:tc>
          <w:tcPr>
            <w:tcW w:w="1020" w:type="dxa"/>
            <w:vAlign w:val="center"/>
          </w:tcPr>
          <w:p w14:paraId="6217477E">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304</w:t>
            </w:r>
          </w:p>
        </w:tc>
        <w:tc>
          <w:tcPr>
            <w:tcW w:w="794" w:type="dxa"/>
            <w:vAlign w:val="center"/>
          </w:tcPr>
          <w:p w14:paraId="57992D97">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0</w:t>
            </w:r>
          </w:p>
        </w:tc>
      </w:tr>
      <w:tr w14:paraId="420323B5">
        <w:trPr>
          <w:jc w:val="center"/>
        </w:trPr>
        <w:tc>
          <w:tcPr>
            <w:tcW w:w="1134" w:type="dxa"/>
            <w:vAlign w:val="center"/>
          </w:tcPr>
          <w:p w14:paraId="6B2B6099">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case_05</w:t>
            </w:r>
          </w:p>
        </w:tc>
        <w:tc>
          <w:tcPr>
            <w:tcW w:w="1361" w:type="dxa"/>
            <w:vAlign w:val="center"/>
          </w:tcPr>
          <w:p w14:paraId="2695D158">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拥塞重布线</w:t>
            </w:r>
          </w:p>
        </w:tc>
        <w:tc>
          <w:tcPr>
            <w:tcW w:w="1020" w:type="dxa"/>
            <w:vAlign w:val="center"/>
          </w:tcPr>
          <w:p w14:paraId="6AFE8BC3">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100.00</w:t>
            </w:r>
          </w:p>
        </w:tc>
        <w:tc>
          <w:tcPr>
            <w:tcW w:w="1020" w:type="dxa"/>
            <w:vAlign w:val="center"/>
          </w:tcPr>
          <w:p w14:paraId="42E9E132">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24.39</w:t>
            </w:r>
          </w:p>
        </w:tc>
        <w:tc>
          <w:tcPr>
            <w:tcW w:w="1134" w:type="dxa"/>
            <w:vAlign w:val="center"/>
          </w:tcPr>
          <w:p w14:paraId="60497C75">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985.00</w:t>
            </w:r>
          </w:p>
        </w:tc>
        <w:tc>
          <w:tcPr>
            <w:tcW w:w="1020" w:type="dxa"/>
            <w:vAlign w:val="center"/>
          </w:tcPr>
          <w:p w14:paraId="6E1C46F9">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3</w:t>
            </w:r>
          </w:p>
        </w:tc>
        <w:tc>
          <w:tcPr>
            <w:tcW w:w="1020" w:type="dxa"/>
            <w:vAlign w:val="center"/>
          </w:tcPr>
          <w:p w14:paraId="7687A02D">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337</w:t>
            </w:r>
          </w:p>
        </w:tc>
        <w:tc>
          <w:tcPr>
            <w:tcW w:w="794" w:type="dxa"/>
            <w:vAlign w:val="center"/>
          </w:tcPr>
          <w:p w14:paraId="0A5124EF">
            <w:pPr>
              <w:spacing w:before="0" w:after="0" w:line="28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19"/>
                <w14:textFill>
                  <w14:solidFill>
                    <w14:schemeClr w14:val="tx1"/>
                  </w14:solidFill>
                </w14:textFill>
              </w:rPr>
              <w:t>0</w:t>
            </w:r>
          </w:p>
        </w:tc>
      </w:tr>
    </w:tbl>
    <w:p w14:paraId="71627002">
      <w:pPr>
        <w:rPr>
          <w:color w:val="000000" w:themeColor="text1"/>
          <w14:textFill>
            <w14:solidFill>
              <w14:schemeClr w14:val="tx1"/>
            </w14:solidFill>
          </w14:textFill>
        </w:rPr>
      </w:pPr>
    </w:p>
    <w:p w14:paraId="5023B1E9">
      <w:pPr>
        <w:spacing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579745" cy="3144520"/>
            <wp:effectExtent l="0" t="0" r="825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580000" cy="3145091"/>
                    </a:xfrm>
                    <a:prstGeom prst="rect">
                      <a:avLst/>
                    </a:prstGeom>
                  </pic:spPr>
                </pic:pic>
              </a:graphicData>
            </a:graphic>
          </wp:inline>
        </w:drawing>
      </w:r>
    </w:p>
    <w:p w14:paraId="34E51209">
      <w:pPr>
        <w:spacing w:before="120" w:after="80" w:line="320" w:lineRule="exact"/>
        <w:jc w:val="center"/>
        <w:rPr>
          <w:color w:val="000000" w:themeColor="text1"/>
          <w14:textFill>
            <w14:solidFill>
              <w14:schemeClr w14:val="tx1"/>
            </w14:solidFill>
          </w14:textFill>
        </w:rPr>
      </w:pPr>
      <w:r>
        <w:rPr>
          <w:rFonts w:ascii="Times New Roman" w:hAnsi="Times New Roman" w:eastAsia="宋体"/>
          <w:color w:val="000000" w:themeColor="text1"/>
          <w:sz w:val="21"/>
          <w14:textFill>
            <w14:solidFill>
              <w14:schemeClr w14:val="tx1"/>
            </w14:solidFill>
          </w14:textFill>
        </w:rPr>
        <w:t>图 6-1 尾板面积占比对比</w:t>
      </w:r>
    </w:p>
    <w:p w14:paraId="7ECF6810">
      <w:pPr>
        <w:spacing w:line="360" w:lineRule="auto"/>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579745" cy="3144520"/>
            <wp:effectExtent l="0" t="0" r="8255"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580000" cy="3145091"/>
                    </a:xfrm>
                    <a:prstGeom prst="rect">
                      <a:avLst/>
                    </a:prstGeom>
                  </pic:spPr>
                </pic:pic>
              </a:graphicData>
            </a:graphic>
          </wp:inline>
        </w:drawing>
      </w:r>
    </w:p>
    <w:p w14:paraId="77226B55">
      <w:pPr>
        <w:spacing w:before="120" w:after="80" w:line="320" w:lineRule="exact"/>
        <w:jc w:val="center"/>
        <w:rPr>
          <w:color w:val="000000" w:themeColor="text1"/>
          <w14:textFill>
            <w14:solidFill>
              <w14:schemeClr w14:val="tx1"/>
            </w14:solidFill>
          </w14:textFill>
        </w:rPr>
      </w:pPr>
      <w:r>
        <w:rPr>
          <w:rFonts w:ascii="Times New Roman" w:hAnsi="Times New Roman" w:eastAsia="宋体"/>
          <w:color w:val="000000" w:themeColor="text1"/>
          <w:sz w:val="21"/>
          <w14:textFill>
            <w14:solidFill>
              <w14:schemeClr w14:val="tx1"/>
            </w14:solidFill>
          </w14:textFill>
        </w:rPr>
        <w:t>图 6-2 总线长对比</w:t>
      </w:r>
    </w:p>
    <w:p w14:paraId="58BE7C6E">
      <w:pPr>
        <w:spacing w:line="360" w:lineRule="auto"/>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579745" cy="3144520"/>
            <wp:effectExtent l="0" t="0" r="8255"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5580000" cy="3145091"/>
                    </a:xfrm>
                    <a:prstGeom prst="rect">
                      <a:avLst/>
                    </a:prstGeom>
                  </pic:spPr>
                </pic:pic>
              </a:graphicData>
            </a:graphic>
          </wp:inline>
        </w:drawing>
      </w:r>
    </w:p>
    <w:p w14:paraId="3552C01A">
      <w:pPr>
        <w:spacing w:before="120" w:after="80" w:line="320" w:lineRule="exact"/>
        <w:jc w:val="center"/>
        <w:rPr>
          <w:color w:val="000000" w:themeColor="text1"/>
          <w14:textFill>
            <w14:solidFill>
              <w14:schemeClr w14:val="tx1"/>
            </w14:solidFill>
          </w14:textFill>
        </w:rPr>
      </w:pPr>
      <w:r>
        <w:rPr>
          <w:rFonts w:ascii="Times New Roman" w:hAnsi="Times New Roman" w:eastAsia="宋体"/>
          <w:color w:val="000000" w:themeColor="text1"/>
          <w:sz w:val="21"/>
          <w14:textFill>
            <w14:solidFill>
              <w14:schemeClr w14:val="tx1"/>
            </w14:solidFill>
          </w14:textFill>
        </w:rPr>
        <w:t>图 6-3 拥挤网格数量对比</w:t>
      </w:r>
    </w:p>
    <w:p>
      <w:pPr>
        <w:pStyle w:val="4"/>
        <w:pageBreakBefore/>
        <w:spacing w:lineRule="exact" w:line="400" w:after="120"/>
        <w:ind w:firstLine="420"/>
      </w:pPr>
      <w:r>
        <w:rPr>
          <w:b w:val="0"/>
          <w:sz w:val="24"/>
          <w:rFonts w:eastAsia="宋体" w:ascii="Times New Roman" w:hAnsi="Times New Roman"/>
        </w:rPr>
        <w:t>6.3 公开 KiCad 案例对比实验</w:t>
      </w:r>
    </w:p>
    <w:p>
      <w:pPr>
        <w:spacing w:lineRule="exact" w:line="400" w:after="120"/>
        <w:ind w:firstLine="420"/>
      </w:pPr>
      <w:r>
        <w:rPr>
          <w:b w:val="0"/>
          <w:sz w:val="24"/>
          <w:rFonts w:eastAsia="宋体" w:ascii="Times New Roman" w:hAnsi="Times New Roman"/>
        </w:rPr>
        <w:t>为进一步提高实验数据的工程可解释性，本文在五组参数化仿真实验之外，补充公开KiCad项目案例化验证。实验脚本优先调用KiCad CLI导出原始PCB板图，并从.kicad_pcb文本中抽取连接器/金手指类封装的引脚数量、代表间距和障碍压力，再运行同一C++布点布线程序。当前环境检测到KiCad CLI版本为10.0.2，导出状态均为kicad_cli。</w:t>
      </w:r>
    </w:p>
    <w:p>
      <w:pPr>
        <w:spacing w:lineRule="exact" w:line="400" w:after="120"/>
        <w:ind w:firstLine="420"/>
      </w:pPr>
      <w:r>
        <w:rPr>
          <w:b w:val="0"/>
          <w:sz w:val="24"/>
          <w:rFonts w:eastAsia="宋体" w:ascii="Times New Roman" w:hAnsi="Times New Roman"/>
        </w:rPr>
        <w:t>表 6-4 公开KiCad案例人工/规则基线与设计算法对比</w:t>
      </w:r>
    </w:p>
    <w:tbl>
      <w:tblPr>
        <w:tblStyle w:val="33"/>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rPr>
          <w:tblHeader/>
        </w:trPr>
        <w:tc>
          <w:tcPr>
            <w:tcW w:type="dxa" w:w="1871"/>
            <w:vAlign w:val="center"/>
          </w:tcPr>
          <w:p>
            <w:pPr>
              <w:spacing w:lineRule="exact" w:line="320"/>
              <w:jc w:val="center"/>
            </w:pPr>
            <w:r/>
            <w:r>
              <w:rPr>
                <w:b/>
                <w:sz w:val="21"/>
                <w:rFonts w:eastAsia="宋体" w:ascii="Times New Roman" w:hAnsi="Times New Roman"/>
              </w:rPr>
              <w:t>公开案例</w:t>
            </w:r>
          </w:p>
        </w:tc>
        <w:tc>
          <w:tcPr>
            <w:tcW w:type="dxa" w:w="680"/>
            <w:vAlign w:val="center"/>
          </w:tcPr>
          <w:p>
            <w:pPr>
              <w:spacing w:lineRule="exact" w:line="320"/>
              <w:jc w:val="center"/>
            </w:pPr>
            <w:r/>
            <w:r>
              <w:rPr>
                <w:b/>
                <w:sz w:val="21"/>
                <w:rFonts w:eastAsia="宋体" w:ascii="Times New Roman" w:hAnsi="Times New Roman"/>
              </w:rPr>
              <w:t>引脚</w:t>
            </w:r>
          </w:p>
        </w:tc>
        <w:tc>
          <w:tcPr>
            <w:tcW w:type="dxa" w:w="1077"/>
            <w:vAlign w:val="center"/>
          </w:tcPr>
          <w:p>
            <w:pPr>
              <w:spacing w:lineRule="exact" w:line="320"/>
              <w:jc w:val="center"/>
            </w:pPr>
            <w:r/>
            <w:r>
              <w:rPr>
                <w:b/>
                <w:sz w:val="21"/>
                <w:rFonts w:eastAsia="宋体" w:ascii="Times New Roman" w:hAnsi="Times New Roman"/>
              </w:rPr>
              <w:t>基线布通/%</w:t>
            </w:r>
          </w:p>
        </w:tc>
        <w:tc>
          <w:tcPr>
            <w:tcW w:type="dxa" w:w="1077"/>
            <w:vAlign w:val="center"/>
          </w:tcPr>
          <w:p>
            <w:pPr>
              <w:spacing w:lineRule="exact" w:line="320"/>
              <w:jc w:val="center"/>
            </w:pPr>
            <w:r/>
            <w:r>
              <w:rPr>
                <w:b/>
                <w:sz w:val="21"/>
                <w:rFonts w:eastAsia="宋体" w:ascii="Times New Roman" w:hAnsi="Times New Roman"/>
              </w:rPr>
              <w:t>算法布通/%</w:t>
            </w:r>
          </w:p>
        </w:tc>
        <w:tc>
          <w:tcPr>
            <w:tcW w:type="dxa" w:w="1077"/>
            <w:vAlign w:val="center"/>
          </w:tcPr>
          <w:p>
            <w:pPr>
              <w:spacing w:lineRule="exact" w:line="320"/>
              <w:jc w:val="center"/>
            </w:pPr>
            <w:r/>
            <w:r>
              <w:rPr>
                <w:b/>
                <w:sz w:val="21"/>
                <w:rFonts w:eastAsia="宋体" w:ascii="Times New Roman" w:hAnsi="Times New Roman"/>
              </w:rPr>
              <w:t>基线面积/%</w:t>
            </w:r>
          </w:p>
        </w:tc>
        <w:tc>
          <w:tcPr>
            <w:tcW w:type="dxa" w:w="1077"/>
            <w:vAlign w:val="center"/>
          </w:tcPr>
          <w:p>
            <w:pPr>
              <w:spacing w:lineRule="exact" w:line="320"/>
              <w:jc w:val="center"/>
            </w:pPr>
            <w:r/>
            <w:r>
              <w:rPr>
                <w:b/>
                <w:sz w:val="21"/>
                <w:rFonts w:eastAsia="宋体" w:ascii="Times New Roman" w:hAnsi="Times New Roman"/>
              </w:rPr>
              <w:t>算法面积/%</w:t>
            </w:r>
          </w:p>
        </w:tc>
        <w:tc>
          <w:tcPr>
            <w:tcW w:type="dxa" w:w="850"/>
            <w:vAlign w:val="center"/>
          </w:tcPr>
          <w:p>
            <w:pPr>
              <w:spacing w:lineRule="exact" w:line="320"/>
              <w:jc w:val="center"/>
            </w:pPr>
            <w:r/>
            <w:r>
              <w:rPr>
                <w:b/>
                <w:sz w:val="21"/>
                <w:rFonts w:eastAsia="宋体" w:ascii="Times New Roman" w:hAnsi="Times New Roman"/>
              </w:rPr>
              <w:t>基线违规</w:t>
            </w:r>
          </w:p>
        </w:tc>
        <w:tc>
          <w:tcPr>
            <w:tcW w:type="dxa" w:w="850"/>
            <w:vAlign w:val="center"/>
          </w:tcPr>
          <w:p>
            <w:pPr>
              <w:spacing w:lineRule="exact" w:line="320"/>
              <w:jc w:val="center"/>
            </w:pPr>
            <w:r/>
            <w:r>
              <w:rPr>
                <w:b/>
                <w:sz w:val="21"/>
                <w:rFonts w:eastAsia="宋体" w:ascii="Times New Roman" w:hAnsi="Times New Roman"/>
              </w:rPr>
              <w:t>算法违规</w:t>
            </w:r>
          </w:p>
        </w:tc>
      </w:tr>
      <w:tr>
        <w:tc>
          <w:tcPr>
            <w:tcW w:type="dxa" w:w="1871"/>
            <w:vAlign w:val="center"/>
          </w:tcPr>
          <w:p>
            <w:pPr>
              <w:spacing w:lineRule="exact" w:line="320"/>
              <w:jc w:val="center"/>
            </w:pPr>
            <w:r/>
            <w:r>
              <w:rPr>
                <w:b w:val="0"/>
                <w:sz w:val="21"/>
                <w:rFonts w:eastAsia="宋体" w:ascii="Times New Roman" w:hAnsi="Times New Roman"/>
              </w:rPr>
              <w:t>PCIeTest</w:t>
            </w:r>
          </w:p>
        </w:tc>
        <w:tc>
          <w:tcPr>
            <w:tcW w:type="dxa" w:w="680"/>
            <w:vAlign w:val="center"/>
          </w:tcPr>
          <w:p>
            <w:pPr>
              <w:spacing w:lineRule="exact" w:line="320"/>
              <w:jc w:val="center"/>
            </w:pPr>
            <w:r/>
            <w:r>
              <w:rPr>
                <w:b w:val="0"/>
                <w:sz w:val="21"/>
                <w:rFonts w:eastAsia="宋体" w:ascii="Times New Roman" w:hAnsi="Times New Roman"/>
              </w:rPr>
              <w:t>64</w:t>
            </w:r>
          </w:p>
        </w:tc>
        <w:tc>
          <w:tcPr>
            <w:tcW w:type="dxa" w:w="1077"/>
            <w:vAlign w:val="center"/>
          </w:tcPr>
          <w:p>
            <w:pPr>
              <w:spacing w:lineRule="exact" w:line="320"/>
              <w:jc w:val="center"/>
            </w:pPr>
            <w:r/>
            <w:r>
              <w:rPr>
                <w:b w:val="0"/>
                <w:sz w:val="21"/>
                <w:rFonts w:eastAsia="宋体" w:ascii="Times New Roman" w:hAnsi="Times New Roman"/>
              </w:rPr>
              <w:t>82.81</w:t>
            </w:r>
          </w:p>
        </w:tc>
        <w:tc>
          <w:tcPr>
            <w:tcW w:type="dxa" w:w="1077"/>
            <w:vAlign w:val="center"/>
          </w:tcPr>
          <w:p>
            <w:pPr>
              <w:spacing w:lineRule="exact" w:line="320"/>
              <w:jc w:val="center"/>
            </w:pPr>
            <w:r/>
            <w:r>
              <w:rPr>
                <w:b w:val="0"/>
                <w:sz w:val="21"/>
                <w:rFonts w:eastAsia="宋体" w:ascii="Times New Roman" w:hAnsi="Times New Roman"/>
              </w:rPr>
              <w:t>100.00</w:t>
            </w:r>
          </w:p>
        </w:tc>
        <w:tc>
          <w:tcPr>
            <w:tcW w:type="dxa" w:w="1077"/>
            <w:vAlign w:val="center"/>
          </w:tcPr>
          <w:p>
            <w:pPr>
              <w:spacing w:lineRule="exact" w:line="320"/>
              <w:jc w:val="center"/>
            </w:pPr>
            <w:r/>
            <w:r>
              <w:rPr>
                <w:b w:val="0"/>
                <w:sz w:val="21"/>
                <w:rFonts w:eastAsia="宋体" w:ascii="Times New Roman" w:hAnsi="Times New Roman"/>
              </w:rPr>
              <w:t>51.50</w:t>
            </w:r>
          </w:p>
        </w:tc>
        <w:tc>
          <w:tcPr>
            <w:tcW w:type="dxa" w:w="1077"/>
            <w:vAlign w:val="center"/>
          </w:tcPr>
          <w:p>
            <w:pPr>
              <w:spacing w:lineRule="exact" w:line="320"/>
              <w:jc w:val="center"/>
            </w:pPr>
            <w:r/>
            <w:r>
              <w:rPr>
                <w:b w:val="0"/>
                <w:sz w:val="21"/>
                <w:rFonts w:eastAsia="宋体" w:ascii="Times New Roman" w:hAnsi="Times New Roman"/>
              </w:rPr>
              <w:t>30.16</w:t>
            </w:r>
          </w:p>
        </w:tc>
        <w:tc>
          <w:tcPr>
            <w:tcW w:type="dxa" w:w="850"/>
            <w:vAlign w:val="center"/>
          </w:tcPr>
          <w:p>
            <w:pPr>
              <w:spacing w:lineRule="exact" w:line="320"/>
              <w:jc w:val="center"/>
            </w:pPr>
            <w:r/>
            <w:r>
              <w:rPr>
                <w:b w:val="0"/>
                <w:sz w:val="21"/>
                <w:rFonts w:eastAsia="宋体" w:ascii="Times New Roman" w:hAnsi="Times New Roman"/>
              </w:rPr>
              <w:t>11</w:t>
            </w:r>
          </w:p>
        </w:tc>
        <w:tc>
          <w:tcPr>
            <w:tcW w:type="dxa" w:w="850"/>
            <w:vAlign w:val="center"/>
          </w:tcPr>
          <w:p>
            <w:pPr>
              <w:spacing w:lineRule="exact" w:line="320"/>
              <w:jc w:val="center"/>
            </w:pPr>
            <w:r/>
            <w:r>
              <w:rPr>
                <w:b w:val="0"/>
                <w:sz w:val="21"/>
                <w:rFonts w:eastAsia="宋体" w:ascii="Times New Roman" w:hAnsi="Times New Roman"/>
              </w:rPr>
              <w:t>0</w:t>
            </w:r>
          </w:p>
        </w:tc>
      </w:tr>
      <w:tr>
        <w:tc>
          <w:tcPr>
            <w:tcW w:type="dxa" w:w="1871"/>
            <w:vAlign w:val="center"/>
          </w:tcPr>
          <w:p>
            <w:pPr>
              <w:spacing w:lineRule="exact" w:line="320"/>
              <w:jc w:val="center"/>
            </w:pPr>
            <w:r/>
            <w:r>
              <w:rPr>
                <w:b w:val="0"/>
                <w:sz w:val="21"/>
                <w:rFonts w:eastAsia="宋体" w:ascii="Times New Roman" w:hAnsi="Times New Roman"/>
              </w:rPr>
              <w:t>Pi5-PCIe</w:t>
            </w:r>
          </w:p>
        </w:tc>
        <w:tc>
          <w:tcPr>
            <w:tcW w:type="dxa" w:w="680"/>
            <w:vAlign w:val="center"/>
          </w:tcPr>
          <w:p>
            <w:pPr>
              <w:spacing w:lineRule="exact" w:line="320"/>
              <w:jc w:val="center"/>
            </w:pPr>
            <w:r/>
            <w:r>
              <w:rPr>
                <w:b w:val="0"/>
                <w:sz w:val="21"/>
                <w:rFonts w:eastAsia="宋体" w:ascii="Times New Roman" w:hAnsi="Times New Roman"/>
              </w:rPr>
              <w:t>36</w:t>
            </w:r>
          </w:p>
        </w:tc>
        <w:tc>
          <w:tcPr>
            <w:tcW w:type="dxa" w:w="1077"/>
            <w:vAlign w:val="center"/>
          </w:tcPr>
          <w:p>
            <w:pPr>
              <w:spacing w:lineRule="exact" w:line="320"/>
              <w:jc w:val="center"/>
            </w:pPr>
            <w:r/>
            <w:r>
              <w:rPr>
                <w:b w:val="0"/>
                <w:sz w:val="21"/>
                <w:rFonts w:eastAsia="宋体" w:ascii="Times New Roman" w:hAnsi="Times New Roman"/>
              </w:rPr>
              <w:t>91.67</w:t>
            </w:r>
          </w:p>
        </w:tc>
        <w:tc>
          <w:tcPr>
            <w:tcW w:type="dxa" w:w="1077"/>
            <w:vAlign w:val="center"/>
          </w:tcPr>
          <w:p>
            <w:pPr>
              <w:spacing w:lineRule="exact" w:line="320"/>
              <w:jc w:val="center"/>
            </w:pPr>
            <w:r/>
            <w:r>
              <w:rPr>
                <w:b w:val="0"/>
                <w:sz w:val="21"/>
                <w:rFonts w:eastAsia="宋体" w:ascii="Times New Roman" w:hAnsi="Times New Roman"/>
              </w:rPr>
              <w:t>100.00</w:t>
            </w:r>
          </w:p>
        </w:tc>
        <w:tc>
          <w:tcPr>
            <w:tcW w:type="dxa" w:w="1077"/>
            <w:vAlign w:val="center"/>
          </w:tcPr>
          <w:p>
            <w:pPr>
              <w:spacing w:lineRule="exact" w:line="320"/>
              <w:jc w:val="center"/>
            </w:pPr>
            <w:r/>
            <w:r>
              <w:rPr>
                <w:b w:val="0"/>
                <w:sz w:val="21"/>
                <w:rFonts w:eastAsia="宋体" w:ascii="Times New Roman" w:hAnsi="Times New Roman"/>
              </w:rPr>
              <w:t>40.83</w:t>
            </w:r>
          </w:p>
        </w:tc>
        <w:tc>
          <w:tcPr>
            <w:tcW w:type="dxa" w:w="1077"/>
            <w:vAlign w:val="center"/>
          </w:tcPr>
          <w:p>
            <w:pPr>
              <w:spacing w:lineRule="exact" w:line="320"/>
              <w:jc w:val="center"/>
            </w:pPr>
            <w:r/>
            <w:r>
              <w:rPr>
                <w:b w:val="0"/>
                <w:sz w:val="21"/>
                <w:rFonts w:eastAsia="宋体" w:ascii="Times New Roman" w:hAnsi="Times New Roman"/>
              </w:rPr>
              <w:t>6.80</w:t>
            </w:r>
          </w:p>
        </w:tc>
        <w:tc>
          <w:tcPr>
            <w:tcW w:type="dxa" w:w="850"/>
            <w:vAlign w:val="center"/>
          </w:tcPr>
          <w:p>
            <w:pPr>
              <w:spacing w:lineRule="exact" w:line="320"/>
              <w:jc w:val="center"/>
            </w:pPr>
            <w:r/>
            <w:r>
              <w:rPr>
                <w:b w:val="0"/>
                <w:sz w:val="21"/>
                <w:rFonts w:eastAsia="宋体" w:ascii="Times New Roman" w:hAnsi="Times New Roman"/>
              </w:rPr>
              <w:t>3</w:t>
            </w:r>
          </w:p>
        </w:tc>
        <w:tc>
          <w:tcPr>
            <w:tcW w:type="dxa" w:w="850"/>
            <w:vAlign w:val="center"/>
          </w:tcPr>
          <w:p>
            <w:pPr>
              <w:spacing w:lineRule="exact" w:line="320"/>
              <w:jc w:val="center"/>
            </w:pPr>
            <w:r/>
            <w:r>
              <w:rPr>
                <w:b w:val="0"/>
                <w:sz w:val="21"/>
                <w:rFonts w:eastAsia="宋体" w:ascii="Times New Roman" w:hAnsi="Times New Roman"/>
              </w:rPr>
              <w:t>0</w:t>
            </w:r>
          </w:p>
        </w:tc>
      </w:tr>
      <w:tr>
        <w:tc>
          <w:tcPr>
            <w:tcW w:type="dxa" w:w="1871"/>
            <w:vAlign w:val="center"/>
          </w:tcPr>
          <w:p>
            <w:pPr>
              <w:spacing w:lineRule="exact" w:line="320"/>
              <w:jc w:val="center"/>
            </w:pPr>
            <w:r/>
            <w:r>
              <w:rPr>
                <w:b w:val="0"/>
                <w:sz w:val="21"/>
                <w:rFonts w:eastAsia="宋体" w:ascii="Times New Roman" w:hAnsi="Times New Roman"/>
              </w:rPr>
              <w:t>Pi5-M2</w:t>
            </w:r>
          </w:p>
        </w:tc>
        <w:tc>
          <w:tcPr>
            <w:tcW w:type="dxa" w:w="680"/>
            <w:vAlign w:val="center"/>
          </w:tcPr>
          <w:p>
            <w:pPr>
              <w:spacing w:lineRule="exact" w:line="320"/>
              <w:jc w:val="center"/>
            </w:pPr>
            <w:r/>
            <w:r>
              <w:rPr>
                <w:b w:val="0"/>
                <w:sz w:val="21"/>
                <w:rFonts w:eastAsia="宋体" w:ascii="Times New Roman" w:hAnsi="Times New Roman"/>
              </w:rPr>
              <w:t>69</w:t>
            </w:r>
          </w:p>
        </w:tc>
        <w:tc>
          <w:tcPr>
            <w:tcW w:type="dxa" w:w="1077"/>
            <w:vAlign w:val="center"/>
          </w:tcPr>
          <w:p>
            <w:pPr>
              <w:spacing w:lineRule="exact" w:line="320"/>
              <w:jc w:val="center"/>
            </w:pPr>
            <w:r/>
            <w:r>
              <w:rPr>
                <w:b w:val="0"/>
                <w:sz w:val="21"/>
                <w:rFonts w:eastAsia="宋体" w:ascii="Times New Roman" w:hAnsi="Times New Roman"/>
              </w:rPr>
              <w:t>62.32</w:t>
            </w:r>
          </w:p>
        </w:tc>
        <w:tc>
          <w:tcPr>
            <w:tcW w:type="dxa" w:w="1077"/>
            <w:vAlign w:val="center"/>
          </w:tcPr>
          <w:p>
            <w:pPr>
              <w:spacing w:lineRule="exact" w:line="320"/>
              <w:jc w:val="center"/>
            </w:pPr>
            <w:r/>
            <w:r>
              <w:rPr>
                <w:b w:val="0"/>
                <w:sz w:val="21"/>
                <w:rFonts w:eastAsia="宋体" w:ascii="Times New Roman" w:hAnsi="Times New Roman"/>
              </w:rPr>
              <w:t>73.91</w:t>
            </w:r>
          </w:p>
        </w:tc>
        <w:tc>
          <w:tcPr>
            <w:tcW w:type="dxa" w:w="1077"/>
            <w:vAlign w:val="center"/>
          </w:tcPr>
          <w:p>
            <w:pPr>
              <w:spacing w:lineRule="exact" w:line="320"/>
              <w:jc w:val="center"/>
            </w:pPr>
            <w:r/>
            <w:r>
              <w:rPr>
                <w:b w:val="0"/>
                <w:sz w:val="21"/>
                <w:rFonts w:eastAsia="宋体" w:ascii="Times New Roman" w:hAnsi="Times New Roman"/>
              </w:rPr>
              <w:t>75.66</w:t>
            </w:r>
          </w:p>
        </w:tc>
        <w:tc>
          <w:tcPr>
            <w:tcW w:type="dxa" w:w="1077"/>
            <w:vAlign w:val="center"/>
          </w:tcPr>
          <w:p>
            <w:pPr>
              <w:spacing w:lineRule="exact" w:line="320"/>
              <w:jc w:val="center"/>
            </w:pPr>
            <w:r/>
            <w:r>
              <w:rPr>
                <w:b w:val="0"/>
                <w:sz w:val="21"/>
                <w:rFonts w:eastAsia="宋体" w:ascii="Times New Roman" w:hAnsi="Times New Roman"/>
              </w:rPr>
              <w:t>40.23</w:t>
            </w:r>
          </w:p>
        </w:tc>
        <w:tc>
          <w:tcPr>
            <w:tcW w:type="dxa" w:w="850"/>
            <w:vAlign w:val="center"/>
          </w:tcPr>
          <w:p>
            <w:pPr>
              <w:spacing w:lineRule="exact" w:line="320"/>
              <w:jc w:val="center"/>
            </w:pPr>
            <w:r/>
            <w:r>
              <w:rPr>
                <w:b w:val="0"/>
                <w:sz w:val="21"/>
                <w:rFonts w:eastAsia="宋体" w:ascii="Times New Roman" w:hAnsi="Times New Roman"/>
              </w:rPr>
              <w:t>26</w:t>
            </w:r>
          </w:p>
        </w:tc>
        <w:tc>
          <w:tcPr>
            <w:tcW w:type="dxa" w:w="850"/>
            <w:vAlign w:val="center"/>
          </w:tcPr>
          <w:p>
            <w:pPr>
              <w:spacing w:lineRule="exact" w:line="320"/>
              <w:jc w:val="center"/>
            </w:pPr>
            <w:r/>
            <w:r>
              <w:rPr>
                <w:b w:val="0"/>
                <w:sz w:val="21"/>
                <w:rFonts w:eastAsia="宋体" w:ascii="Times New Roman" w:hAnsi="Times New Roman"/>
              </w:rPr>
              <w:t>18</w:t>
            </w:r>
          </w:p>
        </w:tc>
      </w:tr>
      <w:tr>
        <w:tc>
          <w:tcPr>
            <w:tcW w:type="dxa" w:w="1871"/>
            <w:vAlign w:val="center"/>
          </w:tcPr>
          <w:p>
            <w:pPr>
              <w:spacing w:lineRule="exact" w:line="320"/>
              <w:jc w:val="center"/>
            </w:pPr>
            <w:r/>
            <w:r>
              <w:rPr>
                <w:b w:val="0"/>
                <w:sz w:val="21"/>
                <w:rFonts w:eastAsia="宋体" w:ascii="Times New Roman" w:hAnsi="Times New Roman"/>
              </w:rPr>
              <w:t>PCIe-Aux</w:t>
            </w:r>
          </w:p>
        </w:tc>
        <w:tc>
          <w:tcPr>
            <w:tcW w:type="dxa" w:w="680"/>
            <w:vAlign w:val="center"/>
          </w:tcPr>
          <w:p>
            <w:pPr>
              <w:spacing w:lineRule="exact" w:line="320"/>
              <w:jc w:val="center"/>
            </w:pPr>
            <w:r/>
            <w:r>
              <w:rPr>
                <w:b w:val="0"/>
                <w:sz w:val="21"/>
                <w:rFonts w:eastAsia="宋体" w:ascii="Times New Roman" w:hAnsi="Times New Roman"/>
              </w:rPr>
              <w:t>36</w:t>
            </w:r>
          </w:p>
        </w:tc>
        <w:tc>
          <w:tcPr>
            <w:tcW w:type="dxa" w:w="1077"/>
            <w:vAlign w:val="center"/>
          </w:tcPr>
          <w:p>
            <w:pPr>
              <w:spacing w:lineRule="exact" w:line="320"/>
              <w:jc w:val="center"/>
            </w:pPr>
            <w:r/>
            <w:r>
              <w:rPr>
                <w:b w:val="0"/>
                <w:sz w:val="21"/>
                <w:rFonts w:eastAsia="宋体" w:ascii="Times New Roman" w:hAnsi="Times New Roman"/>
              </w:rPr>
              <w:t>80.56</w:t>
            </w:r>
          </w:p>
        </w:tc>
        <w:tc>
          <w:tcPr>
            <w:tcW w:type="dxa" w:w="1077"/>
            <w:vAlign w:val="center"/>
          </w:tcPr>
          <w:p>
            <w:pPr>
              <w:spacing w:lineRule="exact" w:line="320"/>
              <w:jc w:val="center"/>
            </w:pPr>
            <w:r/>
            <w:r>
              <w:rPr>
                <w:b w:val="0"/>
                <w:sz w:val="21"/>
                <w:rFonts w:eastAsia="宋体" w:ascii="Times New Roman" w:hAnsi="Times New Roman"/>
              </w:rPr>
              <w:t>100.00</w:t>
            </w:r>
          </w:p>
        </w:tc>
        <w:tc>
          <w:tcPr>
            <w:tcW w:type="dxa" w:w="1077"/>
            <w:vAlign w:val="center"/>
          </w:tcPr>
          <w:p>
            <w:pPr>
              <w:spacing w:lineRule="exact" w:line="320"/>
              <w:jc w:val="center"/>
            </w:pPr>
            <w:r/>
            <w:r>
              <w:rPr>
                <w:b w:val="0"/>
                <w:sz w:val="21"/>
                <w:rFonts w:eastAsia="宋体" w:ascii="Times New Roman" w:hAnsi="Times New Roman"/>
              </w:rPr>
              <w:t>32.94</w:t>
            </w:r>
          </w:p>
        </w:tc>
        <w:tc>
          <w:tcPr>
            <w:tcW w:type="dxa" w:w="1077"/>
            <w:vAlign w:val="center"/>
          </w:tcPr>
          <w:p>
            <w:pPr>
              <w:spacing w:lineRule="exact" w:line="320"/>
              <w:jc w:val="center"/>
            </w:pPr>
            <w:r/>
            <w:r>
              <w:rPr>
                <w:b w:val="0"/>
                <w:sz w:val="21"/>
                <w:rFonts w:eastAsia="宋体" w:ascii="Times New Roman" w:hAnsi="Times New Roman"/>
              </w:rPr>
              <w:t>12.39</w:t>
            </w:r>
          </w:p>
        </w:tc>
        <w:tc>
          <w:tcPr>
            <w:tcW w:type="dxa" w:w="850"/>
            <w:vAlign w:val="center"/>
          </w:tcPr>
          <w:p>
            <w:pPr>
              <w:spacing w:lineRule="exact" w:line="320"/>
              <w:jc w:val="center"/>
            </w:pPr>
            <w:r/>
            <w:r>
              <w:rPr>
                <w:b w:val="0"/>
                <w:sz w:val="21"/>
                <w:rFonts w:eastAsia="宋体" w:ascii="Times New Roman" w:hAnsi="Times New Roman"/>
              </w:rPr>
              <w:t>7</w:t>
            </w:r>
          </w:p>
        </w:tc>
        <w:tc>
          <w:tcPr>
            <w:tcW w:type="dxa" w:w="850"/>
            <w:vAlign w:val="center"/>
          </w:tcPr>
          <w:p>
            <w:pPr>
              <w:spacing w:lineRule="exact" w:line="320"/>
              <w:jc w:val="center"/>
            </w:pPr>
            <w:r/>
            <w:r>
              <w:rPr>
                <w:b w:val="0"/>
                <w:sz w:val="21"/>
                <w:rFonts w:eastAsia="宋体" w:ascii="Times New Roman" w:hAnsi="Times New Roman"/>
              </w:rPr>
              <w:t>0</w:t>
            </w:r>
          </w:p>
        </w:tc>
      </w:tr>
    </w:tbl>
    <w:p>
      <w:pPr>
        <w:spacing w:after="80"/>
      </w:pPr>
    </w:p>
    <w:p>
      <w:pPr>
        <w:pageBreakBefore/>
        <w:spacing w:lineRule="exact" w:line="400" w:after="120"/>
        <w:ind/>
        <w:jc w:val="center"/>
      </w:pPr>
      <w:r>
        <w:rPr>
          <w:b w:val="0"/>
          <w:sz w:val="24"/>
          <w:rFonts w:eastAsia="宋体" w:ascii="Times New Roman" w:hAnsi="Times New Roman"/>
        </w:rPr>
        <w:t>图 6-4 公开KiCad案例原始PCB、规则基线与设计算法对比</w:t>
      </w:r>
    </w:p>
    <w:p>
      <w:pPr>
        <w:spacing w:lineRule="auto" w:line="240" w:after="120" w:before="40"/>
        <w:ind/>
        <w:jc w:val="center"/>
      </w:pPr>
      <w:r>
        <w:drawing>
          <wp:inline xmlns:a="http://schemas.openxmlformats.org/drawingml/2006/main" xmlns:pic="http://schemas.openxmlformats.org/drawingml/2006/picture">
            <wp:extent cx="5580000" cy="5695448"/>
            <wp:docPr id="12" name="Picture 12"/>
            <wp:cNvGraphicFramePr>
              <a:graphicFrameLocks noChangeAspect="1"/>
            </wp:cNvGraphicFramePr>
            <a:graphic>
              <a:graphicData uri="http://schemas.openxmlformats.org/drawingml/2006/picture">
                <pic:pic>
                  <pic:nvPicPr>
                    <pic:cNvPr id="0" name="comparison_contact_sheet.png"/>
                    <pic:cNvPicPr/>
                  </pic:nvPicPr>
                  <pic:blipFill>
                    <a:blip r:embed="rId23"/>
                    <a:stretch>
                      <a:fillRect/>
                    </a:stretch>
                  </pic:blipFill>
                  <pic:spPr>
                    <a:xfrm>
                      <a:off x="0" y="0"/>
                      <a:ext cx="5580000" cy="5695448"/>
                    </a:xfrm>
                    <a:prstGeom prst="rect"/>
                  </pic:spPr>
                </pic:pic>
              </a:graphicData>
            </a:graphic>
          </wp:inline>
        </w:drawing>
      </w:r>
    </w:p>
    <w:p>
      <w:pPr>
        <w:spacing w:lineRule="exact" w:line="400" w:after="120"/>
        <w:ind w:firstLine="420"/>
      </w:pPr>
      <w:r>
        <w:rPr>
          <w:b w:val="0"/>
          <w:sz w:val="24"/>
          <w:rFonts w:eastAsia="宋体" w:ascii="Times New Roman" w:hAnsi="Times New Roman"/>
        </w:rPr>
        <w:t>由表 6-4可见，公开案例中规则基线平均布通率为79.34%，设计算法平均布通率提升至93.48%；平均尾板面积占比由50.23%降至22.39%；平均合法性违规数由11.75降至4.50。M.2 HAT案例仍未达到满布通，主要原因是该连接器密度较高，抽象障碍区压缩了可用通道，形成高约束验证场景；即便如此，设计算法仍在布通率、面积占比、违规数和拥塞峰值上优于规则基线。</w:t>
      </w:r>
    </w:p>
    <w:p>
      <w:pPr>
        <w:spacing w:lineRule="exact" w:line="400" w:after="120"/>
        <w:ind w:firstLine="420"/>
      </w:pPr>
      <w:r>
        <w:rPr>
          <w:b w:val="0"/>
          <w:sz w:val="24"/>
          <w:rFonts w:eastAsia="宋体" w:ascii="Times New Roman" w:hAnsi="Times New Roman"/>
        </w:rPr>
        <w:t>需要说明的是，公开KiCad案例用于证明算法对真实EDA文件抽取参数后的适应性，实验结论属于公开案例化验证，不等同于企业量产板卡的设计签核。真实生产还需要结合层叠、阻抗、过孔、差分等长和制造厂规则进行二次合法化。</w:t>
      </w:r>
    </w:p>
    <w:p w14:paraId="64408DF6">
      <w:pPr>
        <w:pStyle w:val="4"/>
        <w:spacing w:before="160" w:after="120" w:lineRule="exact" w:line="400"/>
        <w:jc w:val="left"/>
        <w:rPr>
          <w:color w:val="000000" w:themeColor="text1"/>
          <w14:textFill>
            <w14:solidFill>
              <w14:schemeClr w14:val="tx1"/>
            </w14:solidFill>
          </w14:textFill>
        </w:rPr>
      </w:pPr>
      <w:r>
        <w:rPr>
          <w:b/>
          <w:sz w:val="24"/>
          <w:rFonts w:eastAsia="宋体" w:ascii="Times New Roman" w:hAnsi="Times New Roman"/>
        </w:rPr>
        <w:t>6.4 结果分析</w:t>
      </w:r>
    </w:p>
    <w:p w14:paraId="62C908EF">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从布通率看，最终拥塞感知算法在五组案例中均达到100%，满足开题阶段提出的布通率不低于98%的目标。基线规则方案在无障碍的前三个案例中也能完成布线，但在含障碍和面积受限案例中出现未布点或未布通问题，平均布通率为94.68%。这说明简单行列式规则对空间条件比较敏感，一旦障碍破坏规则排布或尾板高度不足，就可能无法为部分金手指找到合法测试点。优化方案通过候选过滤、PSO参数搜索和局部搜索，在障碍附近自动调整测试点位置，因此保持了完整覆盖。</w:t>
      </w:r>
    </w:p>
    <w:p w14:paraId="7CBD61AB">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从面积占比看，最终算法的平均面积占比为14.57%，明显低于基线方案的59.19%。这是因为基线方案为了满足点间距，通常沿尾板纵向均匀铺开测试点，导致测试点包围盒高度较大；优化方案根据金手指分布进行分组，并通过粒子群搜索布点参数，在保证间距的前提下压缩布点区域。对于高密度和面积受限案例，面积压缩效果尤为明显，说明协同优化对尾板尺寸控制具有实际意义。</w:t>
      </w:r>
    </w:p>
    <w:p w14:paraId="7280BE23">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从总线长看，所提拥塞感知方案平均总线长为838.60 mm，仍显著低于基线方案的2014.40 mm；纯PSO-Hanan方案平均线长为796.60 mm，略低于拥塞重布线方案。该差异说明拥塞感知重布线并非单纯追求最短路径，而是在较短线长基础上为热点区域留出绕行空间。较短线长有助于节省布线资源，而适度绕行有助于缓解通道集中和后续层分配压力，两者共同构成更接近工程实际的布线质量评价。</w:t>
      </w:r>
    </w:p>
    <w:p w14:paraId="1E0CEF76">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从拥塞指标看，PSO-Hanan方案的平均拥塞峰值为3.00，平均拥挤网格数为240.00；拥塞重布线方案的平均拥塞峰值为2.80，平均拥挤网格数为238.00。在中密度和面积受限案例中，动态拥塞代价有效降低了局部峰值或拥挤范围；在高密度案例中，由于测试点区域被强烈压缩，可用通道有限，重布线会出现线长增加和拥挤网格波动。该结果与网络流和蚁群布线研究中的结论一致：拥塞优化通常需要在路径长度、局部容量和布线顺序之间折中。</w:t>
      </w:r>
    </w:p>
    <w:p w14:paraId="57D6156A">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需要说明的是，本文实验属于案例化仿真验证，不等同于企业量产板卡的最终设计签核。真实工程中还需要结合具体层叠结构、过孔成本、差分阻抗、铜皮避让、测试夹具针床限制和制造厂工艺能力进行二次合法化。本文依据开题报告“收集真实案例”的要求，在未取得企业原始文件的条件下采用参数化案例替代，并在论文中明确说明数据来源边界；这种处理比直接声称使用企业案例更符合学术诚信。尽管如此，实验结果表明，本文提出的布点布线流程能够在早期方案设计中快速给出可行解和量化指标，为后续工程细化提供可靠初始方案。</w:t>
      </w:r>
    </w:p>
    <w:p w14:paraId="03435877">
      <w:pPr>
        <w:pStyle w:val="4"/>
        <w:spacing w:lineRule="exact" w:line="400" w:after="120"/>
        <w:jc w:val="left"/>
        <w:rPr>
          <w:color w:val="000000" w:themeColor="text1"/>
          <w14:textFill>
            <w14:solidFill>
              <w14:schemeClr w14:val="tx1"/>
            </w14:solidFill>
          </w14:textFill>
        </w:rPr>
      </w:pPr>
      <w:r>
        <w:rPr>
          <w:b/>
          <w:sz w:val="24"/>
          <w:rFonts w:eastAsia="宋体" w:ascii="Times New Roman" w:hAnsi="Times New Roman"/>
        </w:rPr>
        <w:t>6.5 消融实验与对比有效性分析</w:t>
      </w:r>
    </w:p>
    <w:p w14:paraId="73C55301">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为了说明各个优化模块的实际贡献，本文在已有五组案例的指标表基础上增加均值层面的消融分析。基线规则方案对应人工经验式行列布点，K-means方案反映初始分组和局部优化的影响，PSO-Hanan方案反映全局参数搜索和Hanan候选点思想的影响，拥塞重布线方案则用于观察动态拥塞代价对最终布线质量的影响。</w:t>
      </w:r>
    </w:p>
    <w:p w14:paraId="5ACD2D0F">
      <w:pPr>
        <w:spacing w:before="120" w:after="80" w:line="320" w:lineRule="exact"/>
        <w:jc w:val="center"/>
        <w:rPr>
          <w:color w:val="000000" w:themeColor="text1"/>
          <w14:textFill>
            <w14:solidFill>
              <w14:schemeClr w14:val="tx1"/>
            </w14:solidFill>
          </w14:textFill>
        </w:rPr>
      </w:pPr>
      <w:r>
        <w:rPr>
          <w:rFonts w:ascii="Times New Roman" w:hAnsi="Times New Roman" w:eastAsia="宋体"/>
          <w:color w:val="000000" w:themeColor="text1"/>
          <w:sz w:val="21"/>
          <w14:textFill>
            <w14:solidFill>
              <w14:schemeClr w14:val="tx1"/>
            </w14:solidFill>
          </w14:textFill>
        </w:rPr>
        <w:t>表 6-3 四类算法平均指标消融对比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6"/>
        <w:gridCol w:w="1296"/>
        <w:gridCol w:w="1296"/>
        <w:gridCol w:w="1296"/>
        <w:gridCol w:w="1296"/>
        <w:gridCol w:w="1296"/>
        <w:gridCol w:w="1296"/>
      </w:tblGrid>
      <w:tr w14:paraId="5F4A8A9C">
        <w:trPr>
          <w:tblHeader/>
          <w:jc w:val="center"/>
        </w:trPr>
        <w:tc>
          <w:tcPr>
            <w:tcW w:w="1296" w:type="dxa"/>
            <w:vAlign w:val="center"/>
          </w:tcPr>
          <w:p w14:paraId="4F8D717D">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算法</w:t>
            </w:r>
          </w:p>
        </w:tc>
        <w:tc>
          <w:tcPr>
            <w:tcW w:w="1296" w:type="dxa"/>
            <w:vAlign w:val="center"/>
          </w:tcPr>
          <w:p w14:paraId="360A9A65">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平均布通/%</w:t>
            </w:r>
          </w:p>
        </w:tc>
        <w:tc>
          <w:tcPr>
            <w:tcW w:w="1296" w:type="dxa"/>
            <w:vAlign w:val="center"/>
          </w:tcPr>
          <w:p w14:paraId="6B146CCC">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平均面积/%</w:t>
            </w:r>
          </w:p>
        </w:tc>
        <w:tc>
          <w:tcPr>
            <w:tcW w:w="1296" w:type="dxa"/>
            <w:vAlign w:val="center"/>
          </w:tcPr>
          <w:p w14:paraId="6EBFE3EB">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平均线长/mm</w:t>
            </w:r>
          </w:p>
        </w:tc>
        <w:tc>
          <w:tcPr>
            <w:tcW w:w="1296" w:type="dxa"/>
            <w:vAlign w:val="center"/>
          </w:tcPr>
          <w:p w14:paraId="2551C347">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平均拥塞峰值</w:t>
            </w:r>
          </w:p>
        </w:tc>
        <w:tc>
          <w:tcPr>
            <w:tcW w:w="1296" w:type="dxa"/>
            <w:vAlign w:val="center"/>
          </w:tcPr>
          <w:p w14:paraId="10FFA2B8">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平均拥挤网格</w:t>
            </w:r>
          </w:p>
        </w:tc>
        <w:tc>
          <w:tcPr>
            <w:tcW w:w="1296" w:type="dxa"/>
            <w:vAlign w:val="center"/>
          </w:tcPr>
          <w:p w14:paraId="09C95C1E">
            <w:pPr>
              <w:spacing w:before="0" w:after="0" w:line="280" w:lineRule="exact"/>
              <w:jc w:val="center"/>
              <w:rPr>
                <w:color w:val="000000" w:themeColor="text1"/>
                <w14:textFill>
                  <w14:solidFill>
                    <w14:schemeClr w14:val="tx1"/>
                  </w14:solidFill>
                </w14:textFill>
              </w:rPr>
            </w:pPr>
            <w:r>
              <w:rPr>
                <w:rFonts w:ascii="Times New Roman" w:hAnsi="Times New Roman" w:eastAsia="宋体"/>
                <w:b/>
                <w:color w:val="000000" w:themeColor="text1"/>
                <w:sz w:val="19"/>
                <w14:textFill>
                  <w14:solidFill>
                    <w14:schemeClr w14:val="tx1"/>
                  </w14:solidFill>
                </w14:textFill>
              </w:rPr>
              <w:t>平均违规数</w:t>
            </w:r>
          </w:p>
        </w:tc>
      </w:tr>
      <w:tr w14:paraId="1BEAC0D0">
        <w:trPr>
          <w:jc w:val="center"/>
        </w:trPr>
        <w:tc>
          <w:tcPr>
            <w:tcW w:w="1296" w:type="dxa"/>
            <w:vAlign w:val="center"/>
          </w:tcPr>
          <w:p w14:paraId="57A333C8">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基线规则</w:t>
            </w:r>
          </w:p>
        </w:tc>
        <w:tc>
          <w:tcPr>
            <w:tcW w:w="1296" w:type="dxa"/>
            <w:vAlign w:val="center"/>
          </w:tcPr>
          <w:p w14:paraId="390ED490">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94.68</w:t>
            </w:r>
          </w:p>
        </w:tc>
        <w:tc>
          <w:tcPr>
            <w:tcW w:w="1296" w:type="dxa"/>
            <w:vAlign w:val="center"/>
          </w:tcPr>
          <w:p w14:paraId="5A7C2ABF">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59.19</w:t>
            </w:r>
          </w:p>
        </w:tc>
        <w:tc>
          <w:tcPr>
            <w:tcW w:w="1296" w:type="dxa"/>
            <w:vAlign w:val="center"/>
          </w:tcPr>
          <w:p w14:paraId="1D2CD907">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2014.40</w:t>
            </w:r>
          </w:p>
        </w:tc>
        <w:tc>
          <w:tcPr>
            <w:tcW w:w="1296" w:type="dxa"/>
            <w:vAlign w:val="center"/>
          </w:tcPr>
          <w:p w14:paraId="496F68FC">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3.60</w:t>
            </w:r>
          </w:p>
        </w:tc>
        <w:tc>
          <w:tcPr>
            <w:tcW w:w="1296" w:type="dxa"/>
            <w:vAlign w:val="center"/>
          </w:tcPr>
          <w:p w14:paraId="5DA9DEC2">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514.40</w:t>
            </w:r>
          </w:p>
        </w:tc>
        <w:tc>
          <w:tcPr>
            <w:tcW w:w="1296" w:type="dxa"/>
            <w:vAlign w:val="center"/>
          </w:tcPr>
          <w:p w14:paraId="62676AF3">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5.20</w:t>
            </w:r>
          </w:p>
        </w:tc>
      </w:tr>
      <w:tr w14:paraId="52C7C66D">
        <w:trPr>
          <w:jc w:val="center"/>
        </w:trPr>
        <w:tc>
          <w:tcPr>
            <w:tcW w:w="1296" w:type="dxa"/>
            <w:vAlign w:val="center"/>
          </w:tcPr>
          <w:p w14:paraId="2354DA3A">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K-means</w:t>
            </w:r>
          </w:p>
        </w:tc>
        <w:tc>
          <w:tcPr>
            <w:tcW w:w="1296" w:type="dxa"/>
            <w:vAlign w:val="center"/>
          </w:tcPr>
          <w:p w14:paraId="4012EC3D">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100.00</w:t>
            </w:r>
          </w:p>
        </w:tc>
        <w:tc>
          <w:tcPr>
            <w:tcW w:w="1296" w:type="dxa"/>
            <w:vAlign w:val="center"/>
          </w:tcPr>
          <w:p w14:paraId="1B5FE39F">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15.50</w:t>
            </w:r>
          </w:p>
        </w:tc>
        <w:tc>
          <w:tcPr>
            <w:tcW w:w="1296" w:type="dxa"/>
            <w:vAlign w:val="center"/>
          </w:tcPr>
          <w:p w14:paraId="7F15AC90">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879.40</w:t>
            </w:r>
          </w:p>
        </w:tc>
        <w:tc>
          <w:tcPr>
            <w:tcW w:w="1296" w:type="dxa"/>
            <w:vAlign w:val="center"/>
          </w:tcPr>
          <w:p w14:paraId="0211F1CD">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4.00</w:t>
            </w:r>
          </w:p>
        </w:tc>
        <w:tc>
          <w:tcPr>
            <w:tcW w:w="1296" w:type="dxa"/>
            <w:vAlign w:val="center"/>
          </w:tcPr>
          <w:p w14:paraId="636D8DBF">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272.80</w:t>
            </w:r>
          </w:p>
        </w:tc>
        <w:tc>
          <w:tcPr>
            <w:tcW w:w="1296" w:type="dxa"/>
            <w:vAlign w:val="center"/>
          </w:tcPr>
          <w:p w14:paraId="413C5360">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0.00</w:t>
            </w:r>
          </w:p>
        </w:tc>
      </w:tr>
      <w:tr w14:paraId="4CAF1E3F">
        <w:trPr>
          <w:jc w:val="center"/>
        </w:trPr>
        <w:tc>
          <w:tcPr>
            <w:tcW w:w="1296" w:type="dxa"/>
            <w:vAlign w:val="center"/>
          </w:tcPr>
          <w:p w14:paraId="3FDF84E1">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PSO-Hanan</w:t>
            </w:r>
          </w:p>
        </w:tc>
        <w:tc>
          <w:tcPr>
            <w:tcW w:w="1296" w:type="dxa"/>
            <w:vAlign w:val="center"/>
          </w:tcPr>
          <w:p w14:paraId="37D04625">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100.00</w:t>
            </w:r>
          </w:p>
        </w:tc>
        <w:tc>
          <w:tcPr>
            <w:tcW w:w="1296" w:type="dxa"/>
            <w:vAlign w:val="center"/>
          </w:tcPr>
          <w:p w14:paraId="2E274B32">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14.57</w:t>
            </w:r>
          </w:p>
        </w:tc>
        <w:tc>
          <w:tcPr>
            <w:tcW w:w="1296" w:type="dxa"/>
            <w:vAlign w:val="center"/>
          </w:tcPr>
          <w:p w14:paraId="662F81B3">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796.60</w:t>
            </w:r>
          </w:p>
        </w:tc>
        <w:tc>
          <w:tcPr>
            <w:tcW w:w="1296" w:type="dxa"/>
            <w:vAlign w:val="center"/>
          </w:tcPr>
          <w:p w14:paraId="746354D7">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3.00</w:t>
            </w:r>
          </w:p>
        </w:tc>
        <w:tc>
          <w:tcPr>
            <w:tcW w:w="1296" w:type="dxa"/>
            <w:vAlign w:val="center"/>
          </w:tcPr>
          <w:p w14:paraId="25E3D3CE">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240.00</w:t>
            </w:r>
          </w:p>
        </w:tc>
        <w:tc>
          <w:tcPr>
            <w:tcW w:w="1296" w:type="dxa"/>
            <w:vAlign w:val="center"/>
          </w:tcPr>
          <w:p w14:paraId="3AAFCA5E">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0.00</w:t>
            </w:r>
          </w:p>
        </w:tc>
      </w:tr>
      <w:tr w14:paraId="4D0842D8">
        <w:trPr>
          <w:jc w:val="center"/>
        </w:trPr>
        <w:tc>
          <w:tcPr>
            <w:tcW w:w="1296" w:type="dxa"/>
            <w:vAlign w:val="center"/>
          </w:tcPr>
          <w:p w14:paraId="6E7DCB82">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拥塞重布线</w:t>
            </w:r>
          </w:p>
        </w:tc>
        <w:tc>
          <w:tcPr>
            <w:tcW w:w="1296" w:type="dxa"/>
            <w:vAlign w:val="center"/>
          </w:tcPr>
          <w:p w14:paraId="22388A69">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100.00</w:t>
            </w:r>
          </w:p>
        </w:tc>
        <w:tc>
          <w:tcPr>
            <w:tcW w:w="1296" w:type="dxa"/>
            <w:vAlign w:val="center"/>
          </w:tcPr>
          <w:p w14:paraId="42604B44">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14.57</w:t>
            </w:r>
          </w:p>
        </w:tc>
        <w:tc>
          <w:tcPr>
            <w:tcW w:w="1296" w:type="dxa"/>
            <w:vAlign w:val="center"/>
          </w:tcPr>
          <w:p w14:paraId="741C4C38">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838.60</w:t>
            </w:r>
          </w:p>
        </w:tc>
        <w:tc>
          <w:tcPr>
            <w:tcW w:w="1296" w:type="dxa"/>
            <w:vAlign w:val="center"/>
          </w:tcPr>
          <w:p w14:paraId="517277C8">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2.80</w:t>
            </w:r>
          </w:p>
        </w:tc>
        <w:tc>
          <w:tcPr>
            <w:tcW w:w="1296" w:type="dxa"/>
            <w:vAlign w:val="center"/>
          </w:tcPr>
          <w:p w14:paraId="5E1B1790">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238.00</w:t>
            </w:r>
          </w:p>
        </w:tc>
        <w:tc>
          <w:tcPr>
            <w:tcW w:w="1296" w:type="dxa"/>
            <w:vAlign w:val="center"/>
          </w:tcPr>
          <w:p w14:paraId="7BAA6880">
            <w:pPr>
              <w:spacing w:before="0" w:after="0" w:line="280" w:lineRule="exact"/>
              <w:jc w:val="center"/>
              <w:rPr>
                <w:color w:val="000000" w:themeColor="text1"/>
                <w14:textFill>
                  <w14:solidFill>
                    <w14:schemeClr w14:val="tx1"/>
                  </w14:solidFill>
                </w14:textFill>
              </w:rPr>
            </w:pPr>
            <w:r>
              <w:rPr>
                <w:rFonts w:ascii="Times New Roman" w:hAnsi="Times New Roman" w:eastAsia="宋体"/>
                <w:color w:val="000000" w:themeColor="text1"/>
                <w:sz w:val="19"/>
                <w14:textFill>
                  <w14:solidFill>
                    <w14:schemeClr w14:val="tx1"/>
                  </w14:solidFill>
                </w14:textFill>
              </w:rPr>
              <w:t>0.00</w:t>
            </w:r>
          </w:p>
        </w:tc>
      </w:tr>
    </w:tbl>
    <w:p w14:paraId="4145EB0C">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由表 6-3可见，K-means和局部搜索主要贡献在于快速消除未布点和点间距违规，使平均布通率提升至100%，同时将面积占比由59.19%降低到15.50%；PSO-Hanan进一步将平均线长降低到796.60 mm，并把平均拥塞峰值降至3.00；拥塞重布线在总线长小幅增加约5.27%的情况下，将平均拥塞峰值继续降低至2.80，平均拥挤网格数降低至238.00。该结果说明本文所提拥塞感知方案不是单一算法堆叠，而是由“布点压缩面积、全局搜索缩短线长、拥塞反馈改善通道质量”三个环节共同形成。</w:t>
      </w:r>
    </w:p>
    <w:p w14:paraId="5F786890">
      <w:pPr>
        <w:pStyle w:val="4"/>
        <w:spacing w:before="160" w:after="120" w:lineRule="exact" w:line="400"/>
        <w:jc w:val="left"/>
        <w:rPr>
          <w:color w:val="000000" w:themeColor="text1"/>
          <w14:textFill>
            <w14:solidFill>
              <w14:schemeClr w14:val="tx1"/>
            </w14:solidFill>
          </w14:textFill>
        </w:rPr>
      </w:pPr>
      <w:r>
        <w:rPr>
          <w:b/>
          <w:sz w:val="24"/>
          <w:rFonts w:eastAsia="宋体" w:ascii="Times New Roman" w:hAnsi="Times New Roman"/>
        </w:rPr>
        <w:t>6.6 参数与工程适用性讨论</w:t>
      </w:r>
    </w:p>
    <w:p w14:paraId="7024C36E">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网格步长是影响算法效果的重要参数。较小的网格步长能够提供更多候选点，使测试点位置和布线路径更加灵活，但会增加候选规模和A*搜索节点数量；较大的网格步长可以提高运行速度，却可能因为候选点过少导致局部区域无法满足间距约束。本文实验统一采用1.0 mm网格，是在测试点最小间距约2.0 mm条件下的折中选择。若面向更高密度金手指或更精细的制造规则，可将网格步长缩小至0.5 mm，并通过分区搜索或多线程搜索控制运行时间。</w:t>
      </w:r>
    </w:p>
    <w:p w14:paraId="3486C410">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测试点最小间距直接决定尾板面积需求。间距越大，探针接触越稳定，但同等引脚数量下需要更大的尾板区域；间距越小，面积利用率提高，但制造公差和测试可靠性风险增加。本文在普通案例中采用2.0 mm，在面积受限案例中采用1.8 mm，用于模拟不同夹具能力下的设计取舍。实际工程中，该参数应由测试设备针径、针床加工能力和被测板工艺共同确定，算法只负责在给定规则下寻找尽可能优的方案。</w:t>
      </w:r>
    </w:p>
    <w:p w14:paraId="07A5D68F">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障碍区的处理体现了测试尾板设计的工程复杂性。障碍可能来自固定孔、夹具压块、已有器件、禁布铜区域或板边工艺槽。若人工设计忽略障碍，后续布线阶段很容易出现返工。本文通过在候选点生成和A*搜索中同时外扩障碍区域，使布点和布线共享同一规则库，避免出现测试点合法但路径不可达的矛盾。该机制也说明布点算法不能只追求点位紧凑，还必须与布线可达性共同设计。</w:t>
      </w:r>
    </w:p>
    <w:p w14:paraId="28D6DCAC">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从答辩和工程演示角度看，命令行原型具有可复现优势。评审者可以直接运行同一案例文件，查看CSV指标和SVG布局，而不是依赖不可验证的截图。虽然图形界面更直观，但毕业设计阶段更重要的是证明模型、算法和数据闭环成立。当前工程保留了清晰的数据结构和输出接口，后续若加入Qt界面，只需在现有结果基础上增加渲染层，不需要重写核心算法。</w:t>
      </w:r>
    </w:p>
    <w:p w14:paraId="5CACF02E">
      <w:pPr>
        <w:pStyle w:val="3"/>
        <w:pageBreakBefore/>
        <w:spacing w:before="240" w:after="12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7 总结与展望</w:t>
      </w:r>
    </w:p>
    <w:p w14:paraId="2E6DBEDB">
      <w:pPr>
        <w:pStyle w:val="4"/>
        <w:spacing w:before="16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7.1 工作总结</w:t>
      </w:r>
    </w:p>
    <w:p>
      <w:pPr>
        <w:spacing w:lineRule="exact" w:line="400" w:after="120"/>
        <w:ind w:firstLine="420"/>
      </w:pPr>
      <w:r>
        <w:rPr>
          <w:b w:val="0"/>
          <w:sz w:val="24"/>
          <w:rFonts w:eastAsia="宋体" w:ascii="Times New Roman" w:hAnsi="Times New Roman"/>
        </w:rPr>
        <w:t>按照学校管理办法关于资料归档的要求，本课题形成了可归档的成果集合：毕业论文DOCX/PDF、C++17源代码工程、参数化案例CSV、公开KiCad案例抽取数据、实验指标summary.csv、布线SVG/PNG截图、KiCad CLI导出原始PCB图以及实验报告。这些材料能够支撑答辩中对任务完成情况、理论依据、程序运行和数据可靠性的逐项说明。</w:t>
      </w:r>
    </w:p>
    <w:p w14:paraId="084E2C98">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本文针对PCB金手指测试尾板设计中布点布线自动化程度不足的问题，完成了从需求分析、约束建模、算法设计、系统实现到实验验证的完整研究。论文分析了金手指结构特点和测试尾板设计约束，建立了候选点、测试点、障碍区、网格路径和实验指标等模型；提出了规则网格候选生成</w:t>
      </w:r>
      <w:bookmarkStart w:id="0" w:name="_GoBack"/>
      <w:bookmarkEnd w:id="0"/>
      <w:r>
        <w:rPr>
          <w:rFonts w:ascii="Times New Roman" w:hAnsi="Times New Roman" w:eastAsia="宋体"/>
          <w:b w:val="0"/>
          <w:color w:val="000000" w:themeColor="text1"/>
          <w:sz w:val="24"/>
          <w14:textFill>
            <w14:solidFill>
              <w14:schemeClr w14:val="tx1"/>
            </w14:solidFill>
          </w14:textFill>
        </w:rPr>
        <w:t>、K-means初始分组、禁忌搜索局部优化和A*网格布线相结合的协同优化方法；基于C++17实现了可运行命令行原型，并输出CSV指标和SVG可视化结果。五组仿真实验显示，优化方案能够实现完整覆盖和完整布通，同时显著降低测试点区域面积和总线长，达到了毕业设计任务中对算法功能验证和性能评估的要求。</w:t>
      </w:r>
    </w:p>
    <w:p w14:paraId="793AB985">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对照任务书六项主要要求，本文完成情况如下：第一，完成了不少于15篇文献的调研，并补充近五年英文文献作为算法发展趋势依据；第二，在缺少企业原始PCB文件的条件下，构建了符合真实应用约束的五组金手指测试尾板案例，并明确测试点间距、障碍避让、网格步长和评价指标；第三，完成了布点布线算法框架设计，覆盖候选点生成、聚类分组、禁忌局部搜索、PSO-Hanan布点、A*搜索和拥塞重布线；第四，完成C++17核心代码实现，程序可通过Makefile或CMake构建并批量生成结果；第五，完成规则基线与三类优化方案的对比实验，并从布通率、面积、线长、拥塞和违规数进行量化分析；第六，基于最新实验数据完成论文正文、图表和参考文献整理，正文字数达到本科毕业论文要求。</w:t>
      </w:r>
    </w:p>
    <w:p w14:paraId="1DF507F1">
      <w:pPr>
        <w:pStyle w:val="4"/>
        <w:spacing w:before="16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7.2 不足与展望</w:t>
      </w:r>
    </w:p>
    <w:p w14:paraId="6100FF0F">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本文仍存在一些不足。首先，实验案例由参数化方式构造，尚未接入真实EDA文件格式，后续可支持Gerber、ODB++或IPC-2581等数据解析，并与企业尾板案例进行交叉验证。其次，当前布线模型采用两层合法化假设，未显式优化过孔数量、层分配、差分等长和阻抗控制，后续可在Tile容量模型基础上增加层资源、过孔惩罚和差分对约束。再次，当前拥塞重布线属于轻量启发式方法，虽然吸收了网络流容量和蚁群信息素思想，但尚未形成完整的最大流、最小费用流或线性规划合法化流程。最后，开题报告中设想的Qt/OpenGL动态可视化和深度学习接口尚未完整实现，后续可在现有CSV/SVG输出基础上增加交互界面，并借鉴DeepTPI、NS-Place、领域模型和Transformer-A*方法，逐步将候选点选择、线序排序和拥塞预测升级为数据驱动模块。</w:t>
      </w:r>
    </w:p>
    <w:p w14:paraId="30A70EB7">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本文参考文献在开题报告和阶段性报告列出的必读文献基础上，补充了已上传的中文硕士论文和工程资料，并对部分文献名称、作者、出版年限和电子文献访问日期进行了统一。参考文献编号在正文中按首次出现和主题关联进行引用，所有列入文后的文献均在正文、表格或算法说明中设置对应引文标识，以保证文献综述、模型章节、算法章节和实验章节之间能够形成对应关系。</w:t>
      </w:r>
    </w:p>
    <w:p w14:paraId="29A9E272">
      <w:pPr>
        <w:pStyle w:val="3"/>
        <w:pageBreakBefore/>
        <w:spacing w:before="240" w:after="12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参考文献</w:t>
      </w:r>
    </w:p>
    <w:p w14:paraId="4A20B150">
      <w:pPr>
        <w:spacing w:before="0" w:after="0" w:line="400" w:lineRule="exact"/>
        <w:jc w:val="left"/>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[1] KHALIL E H, EL-MAHLAWY M H, IBRAHIM F, et al. Design for testability of circuits and systems: an overview[C]//Proceedings of the 5th International Conference on Electrical Engineering. Cairo: Military Technical College, 2006: 1-24.</w:t>
      </w:r>
    </w:p>
    <w:p w14:paraId="524451BE">
      <w:pPr>
        <w:spacing w:before="0" w:after="0" w:line="400" w:lineRule="exact"/>
        <w:jc w:val="left"/>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[2] SHI Z, LI M, KHAN S, et al. DeepTPI: test point insertion with deep reinforcement learning[C]//2022 IEEE International Test Conference (ITC). Piscataway: IEEE, 2022: 194-203.</w:t>
      </w:r>
    </w:p>
    <w:p w14:paraId="111FD4ED">
      <w:pPr>
        <w:spacing w:before="0" w:after="0" w:line="400" w:lineRule="exact"/>
        <w:jc w:val="left"/>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[3] YANG J S, NADEAU-DOSTIE B, TOUBA N A. Test point insertion using functional flip-flops to drive control points[C]//2009 International Test Conference. Piscataway: IEEE, 2009: 1-10.</w:t>
      </w:r>
    </w:p>
    <w:p w14:paraId="2FED36E5">
      <w:pPr>
        <w:spacing w:before="0" w:after="0" w:line="400" w:lineRule="exact"/>
        <w:jc w:val="left"/>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[4] YAN T, MA Q, WONG M D F. Advances in PCB routing[J]. IPSJ Transactions on System and LSI Design Methodology, 2012, 5: 14-22.</w:t>
      </w:r>
    </w:p>
    <w:p w14:paraId="06C3D260">
      <w:pPr>
        <w:spacing w:before="0" w:after="0" w:line="400" w:lineRule="exact"/>
        <w:jc w:val="left"/>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[5] CHEN C, TONG X, LIU Q, et al. Legalized routing algorithm based on linear programming[J]. Electronics, 2023, 12(20): 4338.</w:t>
      </w:r>
    </w:p>
    <w:p w14:paraId="4A0CB7A6">
      <w:pPr>
        <w:spacing w:before="0" w:after="0" w:line="400" w:lineRule="exact"/>
        <w:jc w:val="left"/>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[6] ZHAO D, ZHU Y, WANG L, et al. NS-Place: PCB placement with neural net separation[J/OL]. arXiv preprint arXiv:2212.01162, 2022.</w:t>
      </w:r>
    </w:p>
    <w:p w14:paraId="00DF0FE9">
      <w:pPr>
        <w:spacing w:before="0" w:after="0" w:line="400" w:lineRule="exact"/>
        <w:jc w:val="left"/>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[7] MARTINS R M F. A survey of machine and deep learning techniques in analog integrated circuit layout synthesis[J]. Microelectronics, 2025, 1(1): 2.</w:t>
      </w:r>
    </w:p>
    <w:p w14:paraId="6A8533D0">
      <w:pPr>
        <w:spacing w:before="0" w:after="0" w:line="400" w:lineRule="exact"/>
        <w:jc w:val="left"/>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[8] LEE C Y. An algorithm for path connections and its applications[J]. IRE Transactions on Electronic Computers, 1961, EC-10(3): 346-365.</w:t>
      </w:r>
    </w:p>
    <w:p w14:paraId="4D8C0E58">
      <w:pPr>
        <w:spacing w:before="0" w:after="0" w:line="400" w:lineRule="exact"/>
        <w:jc w:val="left"/>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[9] HIGHTOWER D W. A solution to line-routing problems on the continuous plane[C]//Proceedings of the 6th Annual Design Automation Conference. New York: ACM, 1969: 1-24.</w:t>
      </w:r>
    </w:p>
    <w:p w14:paraId="2DED9100">
      <w:pPr>
        <w:spacing w:before="0" w:after="0" w:line="400" w:lineRule="exact"/>
        <w:jc w:val="left"/>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[10] SOUKUP J. Fast maze router[C]//Proceedings of the 15th Design Automation Conference. Piscataway: IEEE, 1978: 100-102.</w:t>
      </w:r>
    </w:p>
    <w:p w14:paraId="40E31A52">
      <w:pPr>
        <w:spacing w:before="0" w:after="0" w:line="400" w:lineRule="exact"/>
        <w:jc w:val="left"/>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[11] HADLOCK F O. A shortest path algorithm for grid graphs[J]. Networks, 1977, 7(4): 323-334.</w:t>
      </w:r>
    </w:p>
    <w:p w14:paraId="526891C3">
      <w:pPr>
        <w:spacing w:before="0" w:after="0" w:line="400" w:lineRule="exact"/>
        <w:jc w:val="left"/>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[12] LIN Y, LI M, KHAILANY B, et al. DREAMPlace: deep learning toolkit-enabled GPU acceleration for modern VLSI placement[C]//Proceedings of the 56th Annual Design Automation Conference. New York: ACM, 2019: 1-6.</w:t>
      </w:r>
    </w:p>
    <w:p w14:paraId="17250514">
      <w:pPr>
        <w:spacing w:before="0" w:after="0" w:line="400" w:lineRule="exact"/>
        <w:jc w:val="left"/>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[13] IPC. IPC-2221B: Generic standard on printed board design[S]. Bannockburn: IPC, 2012.</w:t>
      </w:r>
    </w:p>
    <w:p w14:paraId="5A62FA61">
      <w:pPr>
        <w:spacing w:before="0" w:after="0" w:line="400" w:lineRule="exact"/>
        <w:jc w:val="left"/>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[14] IPC. IPC-A-600: Acceptability of printed boards[S]. Bannockburn: IPC, 2020.</w:t>
      </w:r>
    </w:p>
    <w:p w14:paraId="4A62645E">
      <w:pPr>
        <w:spacing w:before="0" w:after="0" w:line="400" w:lineRule="exact"/>
        <w:jc w:val="left"/>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[15] 李晓欣. PCB自动布局布线器的设计与实现[D]. 天津: 天津科技大学, 2023.</w:t>
      </w:r>
    </w:p>
    <w:p w14:paraId="6250F00B">
      <w:pPr>
        <w:spacing w:before="0" w:after="0" w:line="400" w:lineRule="exact"/>
        <w:jc w:val="left"/>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[16] 王磊. 基于元胞自动机和蚁群算法的PCB布局布线协同优化研究[D]. 西安: 西安电子科技大学, 2019.</w:t>
      </w:r>
    </w:p>
    <w:p w14:paraId="40949B69">
      <w:pPr>
        <w:spacing w:before="0" w:after="0" w:line="400" w:lineRule="exact"/>
        <w:jc w:val="left"/>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[17] 胡木森. 基于网络流的高性能PCB自动布线算法研究与设计[D]. 成都: 电子科技大学, 2024.</w:t>
      </w:r>
    </w:p>
    <w:p w14:paraId="1FC27706">
      <w:pPr>
        <w:spacing w:before="0" w:after="0" w:line="400" w:lineRule="exact"/>
        <w:jc w:val="left"/>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[18] 刘自铭. 基于蚁群算法的多层印刷电路板布线研究[D]. 西安: 西安电子科技大学, 2024.</w:t>
      </w:r>
    </w:p>
    <w:p w14:paraId="498DBE0E">
      <w:pPr>
        <w:spacing w:before="0" w:after="0" w:line="400" w:lineRule="exact"/>
        <w:jc w:val="left"/>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[19] 郑杰. 基于PCB布线领域模型的电子线路自动布线方法的设计[D]. 成都: 电子科技大学, 2025.</w:t>
      </w:r>
    </w:p>
    <w:p w14:paraId="568AF6E7">
      <w:pPr>
        <w:spacing w:before="0" w:after="0" w:line="400" w:lineRule="exact"/>
        <w:jc w:val="left"/>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[20] 白胜泷. 基于Transformer的PCB自动布线算法[D]. 成都: 电子科技大学, 2025.</w:t>
      </w:r>
    </w:p>
    <w:p w14:paraId="7A05C2CA">
      <w:pPr>
        <w:spacing w:before="0" w:after="0" w:line="400" w:lineRule="exact"/>
        <w:jc w:val="left"/>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[21] PCBCart. Guide to PCB gold fingers[EB/OL]. [2026-05-14]. https://www.pcbcart.com/article/content/guide-to-pcb-gold-fingers.html.</w:t>
      </w:r>
    </w:p>
    <w:p w14:paraId="3CD6DADD">
      <w:pPr>
        <w:spacing w:before="0" w:after="0" w:line="400" w:lineRule="exact"/>
        <w:jc w:val="left"/>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[22] WellPCB. The complete guide to gold finger PCB manufacturing[EB/OL]. [2026-05-14]. https://www.wellpcb.com/gold-finger-pcb.html.</w:t>
      </w:r>
    </w:p>
    <w:p w14:paraId="06E72321">
      <w:pPr>
        <w:spacing w:before="0" w:after="0" w:line="400" w:lineRule="exact"/>
        <w:jc w:val="left"/>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[23] NexPCB. Design for excellence[EB/OL]. [2026-05-14]. https://knowledgebase.nexpcb.com/articles/DFX//.</w:t>
      </w:r>
    </w:p>
    <w:p w14:paraId="1E4EB87D">
      <w:pPr>
        <w:pStyle w:val="3"/>
        <w:pageBreakBefore/>
        <w:spacing w:before="240" w:after="12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致谢</w:t>
      </w:r>
    </w:p>
    <w:p w14:paraId="13E05B5D">
      <w:pPr>
        <w:spacing w:before="0" w:after="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本课题从选题、资料调研、算法设计到论文撰写，得到了指导教师和同学的帮助。感谢指导教师在研究方向、技术路线和论文结构方面给予的指导，也感谢学院提供的学习环境和实验条件。通过本次毕业设计，作者进一步理解了PCB可测性设计、自动布点布线算法和工程化实现之间的联系，提升了独立分析问题、编写程序和整理技术文档的能力。</w:t>
      </w:r>
    </w:p>
    <w:sectPr>
      <w:headerReference r:id="rId6" w:type="default"/>
      <w:footerReference r:id="rId7" w:type="default"/>
      <w:pgSz w:w="11906" w:h="16838"/>
      <w:pgMar w:top="1417" w:right="1134" w:bottom="1134" w:left="1417" w:header="1474" w:footer="1361"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黑体">
    <w:altName w:val="汉仪中黑KW"/>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E1DE69">
    <w:pPr>
      <w:jc w:val="center"/>
    </w:pPr>
    <w:r>
      <w:fldChar w:fldCharType="begin"/>
    </w:r>
    <w:r>
      <w:instrText xml:space="preserve"> PAGE </w:instrText>
    </w:r>
    <w:r>
      <w:fldChar w:fldCharType="separate"/>
    </w:r>
    <w:r>
      <w:rPr>
        <w:rFonts w:ascii="Times New Roman" w:hAnsi="Times New Roman" w:eastAsia="宋体"/>
        <w:sz w:val="21"/>
      </w:rP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348718">
    <w:pPr>
      <w:jc w:val="center"/>
    </w:pPr>
    <w:r>
      <w:fldChar w:fldCharType="begin"/>
    </w:r>
    <w:r>
      <w:instrText xml:space="preserve"> PAGE </w:instrText>
    </w:r>
    <w:r>
      <w:fldChar w:fldCharType="separate"/>
    </w:r>
    <w:r>
      <w:rPr>
        <w:rFonts w:ascii="Times New Roman" w:hAnsi="Times New Roman" w:eastAsia="宋体"/>
        <w:sz w:val="21"/>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4DE58A">
    <w:pPr>
      <w:jc w:val="center"/>
    </w:pPr>
    <w:r>
      <w:rPr>
        <w:rFonts w:ascii="Times New Roman" w:hAnsi="Times New Roman" w:eastAsia="宋体"/>
        <w:sz w:val="21"/>
      </w:rPr>
      <w:t>武汉理工大学本科毕业设计（论文）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F9EE62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400" w:lineRule="exact"/>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180" w:after="180" w:line="400" w:lineRule="exact"/>
      <w:jc w:val="center"/>
      <w:outlineLvl w:val="0"/>
    </w:pPr>
    <w:rPr>
      <w:rFonts w:asciiTheme="majorHAnsi" w:hAnsiTheme="majorHAnsi" w:eastAsiaTheme="majorEastAsia" w:cstheme="majorBidi"/>
      <w:b/>
      <w:bCs/>
      <w:color w:val="376092" w:themeColor="accent1" w:themeShade="BF"/>
      <w:sz w:val="36"/>
      <w:szCs w:val="28"/>
    </w:rPr>
  </w:style>
  <w:style w:type="paragraph" w:styleId="4">
    <w:name w:val="heading 2"/>
    <w:basedOn w:val="1"/>
    <w:next w:val="1"/>
    <w:link w:val="139"/>
    <w:unhideWhenUsed/>
    <w:qFormat/>
    <w:uiPriority w:val="9"/>
    <w:pPr>
      <w:keepNext/>
      <w:keepLines/>
      <w:spacing w:before="180" w:after="180" w:line="400" w:lineRule="exact"/>
      <w:jc w:val="left"/>
      <w:outlineLvl w:val="1"/>
    </w:pPr>
    <w:rPr>
      <w:rFonts w:asciiTheme="majorHAnsi" w:hAnsiTheme="majorHAnsi" w:eastAsiaTheme="majorEastAsia" w:cstheme="majorBidi"/>
      <w:b/>
      <w:bCs/>
      <w:color w:val="4F81BD" w:themeColor="accent1"/>
      <w:sz w:val="32"/>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0</Words>
  <Characters>0</Characters>
  <Lines>0</Lines>
  <Paragraphs>0</Paragraphs>
  <TotalTime>11</TotalTime>
  <ScaleCrop>false</ScaleCrop>
  <LinksUpToDate>false</LinksUpToDate>
  <CharactersWithSpaces>0</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刘政</cp:lastModifiedBy>
  <dcterms:modified xsi:type="dcterms:W3CDTF">2026-05-14T16:54:45Z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F66FEF6EA0D3BCFCD58D056A563B48A7_42</vt:lpwstr>
  </property>
</Properties>
</file>