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commentRangeStart w:id="0"/>
      <w:r>
        <w:rPr>
          <w:sz w:val="24"/>
          <w:rFonts w:eastAsia="宋体" w:ascii="Times New Roman" w:hAnsi="Times New Roman"/>
        </w:rPr>
        <w:t>5.4 真实EDA文件解析流程</w:t>
      </w:r>
      <w:commentRangeEnd w:id="0"/>
      <w:r>
        <w:rPr>
          <w:rStyle w:val="CommentReference"/>
        </w:rPr>
        <w:commentReference w:id="0"/>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commentRangeStart w:id="1"/>
      <w:r>
        <w:rPr>
          <w:b/>
          <w:sz w:val="24"/>
          <w:rFonts w:eastAsia="宋体" w:ascii="Times New Roman" w:hAnsi="Times New Roman"/>
        </w:rPr>
        <w:t>6.3 公开EDA案例化验证</w:t>
      </w:r>
      <w:commentRangeEnd w:id="1"/>
      <w:r>
        <w:rPr>
          <w:rStyle w:val="CommentReference"/>
        </w:rPr>
        <w:commentReference w:id="1"/>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Style w:val="33"/>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AF2F8"/>
          </w:tcPr>
          <w:p>
            <w:pPr>
              <w:spacing w:lineRule="exact" w:line="280" w:after="0"/>
              <w:jc w:val="center"/>
            </w:pPr>
            <w:r/>
            <w:r>
              <w:rPr>
                <w:b/>
                <w:sz w:val="16"/>
                <w:rFonts w:eastAsia="宋体" w:ascii="Times New Roman" w:hAnsi="Times New Roman"/>
              </w:rPr>
              <w:t>案例</w:t>
            </w:r>
          </w:p>
        </w:tc>
        <w:tc>
          <w:tcPr>
            <w:tcW w:type="dxa" w:w="1191"/>
            <w:vAlign w:val="center"/>
            <w:shd w:fill="EAF2F8"/>
          </w:tcPr>
          <w:p>
            <w:pPr>
              <w:spacing w:lineRule="exact" w:line="280" w:after="0"/>
              <w:jc w:val="center"/>
            </w:pPr>
            <w:r/>
            <w:r>
              <w:rPr>
                <w:b/>
                <w:sz w:val="16"/>
                <w:rFonts w:eastAsia="宋体" w:ascii="Times New Roman" w:hAnsi="Times New Roman"/>
              </w:rPr>
              <w:t>基线布通/%</w:t>
            </w:r>
          </w:p>
        </w:tc>
        <w:tc>
          <w:tcPr>
            <w:tcW w:type="dxa" w:w="1191"/>
            <w:vAlign w:val="center"/>
            <w:shd w:fill="EAF2F8"/>
          </w:tcPr>
          <w:p>
            <w:pPr>
              <w:spacing w:lineRule="exact" w:line="280" w:after="0"/>
              <w:jc w:val="center"/>
            </w:pPr>
            <w:r/>
            <w:r>
              <w:rPr>
                <w:b/>
                <w:sz w:val="16"/>
                <w:rFonts w:eastAsia="宋体" w:ascii="Times New Roman" w:hAnsi="Times New Roman"/>
              </w:rPr>
              <w:t>算法布通/%</w:t>
            </w:r>
          </w:p>
        </w:tc>
        <w:tc>
          <w:tcPr>
            <w:tcW w:type="dxa" w:w="1191"/>
            <w:vAlign w:val="center"/>
            <w:shd w:fill="EAF2F8"/>
          </w:tcPr>
          <w:p>
            <w:pPr>
              <w:spacing w:lineRule="exact" w:line="280" w:after="0"/>
              <w:jc w:val="center"/>
            </w:pPr>
            <w:r/>
            <w:r>
              <w:rPr>
                <w:b/>
                <w:sz w:val="16"/>
                <w:rFonts w:eastAsia="宋体" w:ascii="Times New Roman" w:hAnsi="Times New Roman"/>
              </w:rPr>
              <w:t>基线面积/%</w:t>
            </w:r>
          </w:p>
        </w:tc>
        <w:tc>
          <w:tcPr>
            <w:tcW w:type="dxa" w:w="1191"/>
            <w:vAlign w:val="center"/>
            <w:shd w:fill="EAF2F8"/>
          </w:tcPr>
          <w:p>
            <w:pPr>
              <w:spacing w:lineRule="exact" w:line="280" w:after="0"/>
              <w:jc w:val="center"/>
            </w:pPr>
            <w:r/>
            <w:r>
              <w:rPr>
                <w:b/>
                <w:sz w:val="16"/>
                <w:rFonts w:eastAsia="宋体" w:ascii="Times New Roman" w:hAnsi="Times New Roman"/>
              </w:rPr>
              <w:t>算法面积/%</w:t>
            </w:r>
          </w:p>
        </w:tc>
        <w:tc>
          <w:tcPr>
            <w:tcW w:type="dxa" w:w="1020"/>
            <w:vAlign w:val="center"/>
            <w:shd w:fill="EAF2F8"/>
          </w:tcPr>
          <w:p>
            <w:pPr>
              <w:spacing w:lineRule="exact" w:line="280" w:after="0"/>
              <w:jc w:val="center"/>
            </w:pPr>
            <w:r/>
            <w:r>
              <w:rPr>
                <w:b/>
                <w:sz w:val="16"/>
                <w:rFonts w:eastAsia="宋体" w:ascii="Times New Roman" w:hAnsi="Times New Roman"/>
              </w:rPr>
              <w:t>基线违规</w:t>
            </w:r>
          </w:p>
        </w:tc>
        <w:tc>
          <w:tcPr>
            <w:tcW w:type="dxa" w:w="1020"/>
            <w:vAlign w:val="center"/>
            <w:shd w:fill="EAF2F8"/>
          </w:tcPr>
          <w:p>
            <w:pPr>
              <w:spacing w:lineRule="exact" w:line="280" w:after="0"/>
              <w:jc w:val="center"/>
            </w:pPr>
            <w:r/>
            <w:r>
              <w:rPr>
                <w:b/>
                <w:sz w:val="16"/>
                <w:rFonts w:eastAsia="宋体" w:ascii="Times New Roman" w:hAnsi="Times New Roman"/>
              </w:rPr>
              <w:t>算法违规</w:t>
            </w:r>
          </w:p>
        </w:tc>
      </w:tr>
      <w:tr>
        <w:tc>
          <w:tcPr>
            <w:tcW w:type="dxa" w:w="1814"/>
            <w:vAlign w:val="center"/>
          </w:tcPr>
          <w:p>
            <w:pPr>
              <w:spacing w:lineRule="exact" w:line="280" w:after="0"/>
              <w:jc w:val="left"/>
            </w:pPr>
            <w:r/>
            <w:r>
              <w:rPr>
                <w:b w:val="0"/>
                <w:sz w:val="16"/>
                <w:rFonts w:eastAsia="宋体" w:ascii="Times New Roman" w:hAnsi="Times New Roman"/>
              </w:rPr>
              <w:t>pcie test dual ww37</w:t>
            </w:r>
          </w:p>
        </w:tc>
        <w:tc>
          <w:tcPr>
            <w:tcW w:type="dxa" w:w="1191"/>
            <w:vAlign w:val="center"/>
          </w:tcPr>
          <w:p>
            <w:pPr>
              <w:spacing w:lineRule="exact" w:line="280" w:after="0"/>
              <w:jc w:val="center"/>
            </w:pPr>
            <w:r/>
            <w:r>
              <w:rPr>
                <w:b w:val="0"/>
                <w:sz w:val="16"/>
                <w:rFonts w:eastAsia="宋体" w:ascii="Times New Roman" w:hAnsi="Times New Roman"/>
              </w:rPr>
              <w:t>98.44</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73.91</w:t>
            </w:r>
          </w:p>
        </w:tc>
        <w:tc>
          <w:tcPr>
            <w:tcW w:type="dxa" w:w="1191"/>
            <w:vAlign w:val="center"/>
          </w:tcPr>
          <w:p>
            <w:pPr>
              <w:spacing w:lineRule="exact" w:line="280" w:after="0"/>
              <w:jc w:val="center"/>
            </w:pPr>
            <w:r/>
            <w:r>
              <w:rPr>
                <w:b w:val="0"/>
                <w:sz w:val="16"/>
                <w:rFonts w:eastAsia="宋体" w:ascii="Times New Roman" w:hAnsi="Times New Roman"/>
              </w:rPr>
              <w:t>11.37</w:t>
            </w:r>
          </w:p>
        </w:tc>
        <w:tc>
          <w:tcPr>
            <w:tcW w:type="dxa" w:w="1020"/>
            <w:vAlign w:val="center"/>
          </w:tcPr>
          <w:p>
            <w:pPr>
              <w:spacing w:lineRule="exact" w:line="280" w:after="0"/>
              <w:jc w:val="center"/>
            </w:pPr>
            <w:r/>
            <w:r>
              <w:rPr>
                <w:b w:val="0"/>
                <w:sz w:val="16"/>
                <w:rFonts w:eastAsia="宋体" w:ascii="Times New Roman" w:hAnsi="Times New Roman"/>
              </w:rPr>
              <w:t>1</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pcie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74.40</w:t>
            </w:r>
          </w:p>
        </w:tc>
        <w:tc>
          <w:tcPr>
            <w:tcW w:type="dxa" w:w="1191"/>
            <w:vAlign w:val="center"/>
          </w:tcPr>
          <w:p>
            <w:pPr>
              <w:spacing w:lineRule="exact" w:line="280" w:after="0"/>
              <w:jc w:val="center"/>
            </w:pPr>
            <w:r/>
            <w:r>
              <w:rPr>
                <w:b w:val="0"/>
                <w:sz w:val="16"/>
                <w:rFonts w:eastAsia="宋体" w:ascii="Times New Roman" w:hAnsi="Times New Roman"/>
              </w:rPr>
              <w:t>22.85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m2 hat</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72.02</w:t>
            </w:r>
          </w:p>
        </w:tc>
        <w:tc>
          <w:tcPr>
            <w:tcW w:type="dxa" w:w="1191"/>
            <w:vAlign w:val="center"/>
          </w:tcPr>
          <w:p>
            <w:pPr>
              <w:spacing w:lineRule="exact" w:line="280" w:after="0"/>
              <w:jc w:val="center"/>
            </w:pPr>
            <w:r/>
            <w:r>
              <w:rPr>
                <w:b w:val="0"/>
                <w:sz w:val="16"/>
                <w:rFonts w:eastAsia="宋体" w:ascii="Times New Roman" w:hAnsi="Times New Roman"/>
              </w:rPr>
              <w:t>44.18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pcie aux signal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73.29</w:t>
            </w:r>
          </w:p>
        </w:tc>
        <w:tc>
          <w:tcPr>
            <w:tcW w:type="dxa" w:w="1191"/>
            <w:vAlign w:val="center"/>
          </w:tcPr>
          <w:p>
            <w:pPr>
              <w:spacing w:lineRule="exact" w:line="280" w:after="0"/>
              <w:jc w:val="center"/>
            </w:pPr>
            <w:r/>
            <w:r>
              <w:rPr>
                <w:b w:val="0"/>
                <w:sz w:val="16"/>
                <w:rFonts w:eastAsia="宋体" w:ascii="Times New Roman" w:hAnsi="Times New Roman"/>
              </w:rPr>
              <w:t>16.87</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mini pcie reference</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70.10</w:t>
            </w:r>
          </w:p>
        </w:tc>
        <w:tc>
          <w:tcPr>
            <w:tcW w:type="dxa" w:w="1191"/>
            <w:vAlign w:val="center"/>
          </w:tcPr>
          <w:p>
            <w:pPr>
              <w:spacing w:lineRule="exact" w:line="280" w:after="0"/>
              <w:jc w:val="center"/>
            </w:pPr>
            <w:r/>
            <w:r>
              <w:rPr>
                <w:b w:val="0"/>
                <w:sz w:val="16"/>
                <w:rFonts w:eastAsia="宋体" w:ascii="Times New Roman" w:hAnsi="Times New Roman"/>
              </w:rPr>
              <w:t>22.55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coral dual m2 adapter</w:t>
            </w:r>
          </w:p>
        </w:tc>
        <w:tc>
          <w:tcPr>
            <w:tcW w:type="dxa" w:w="1191"/>
            <w:vAlign w:val="center"/>
          </w:tcPr>
          <w:p>
            <w:pPr>
              <w:spacing w:lineRule="exact" w:line="280" w:after="0"/>
              <w:jc w:val="center"/>
            </w:pPr>
            <w:r/>
            <w:r>
              <w:rPr>
                <w:b w:val="0"/>
                <w:sz w:val="16"/>
                <w:rFonts w:eastAsia="宋体" w:ascii="Times New Roman" w:hAnsi="Times New Roman"/>
              </w:rPr>
              <w:t>36.76</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72.36</w:t>
            </w:r>
          </w:p>
        </w:tc>
        <w:tc>
          <w:tcPr>
            <w:tcW w:type="dxa" w:w="1191"/>
            <w:vAlign w:val="center"/>
          </w:tcPr>
          <w:p>
            <w:pPr>
              <w:spacing w:lineRule="exact" w:line="280" w:after="0"/>
              <w:jc w:val="center"/>
            </w:pPr>
            <w:r/>
            <w:r>
              <w:rPr>
                <w:b w:val="0"/>
                <w:sz w:val="16"/>
                <w:rFonts w:eastAsia="宋体" w:ascii="Times New Roman" w:hAnsi="Times New Roman"/>
              </w:rPr>
              <w:t>38.88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usb3 ngff carrier</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70.00</w:t>
            </w:r>
          </w:p>
        </w:tc>
        <w:tc>
          <w:tcPr>
            <w:tcW w:type="dxa" w:w="1191"/>
            <w:vAlign w:val="center"/>
          </w:tcPr>
          <w:p>
            <w:pPr>
              <w:spacing w:lineRule="exact" w:line="280" w:after="0"/>
              <w:jc w:val="center"/>
            </w:pPr>
            <w:r/>
            <w:r>
              <w:rPr>
                <w:b w:val="0"/>
                <w:sz w:val="16"/>
                <w:rFonts w:eastAsia="宋体" w:ascii="Times New Roman" w:hAnsi="Times New Roman"/>
              </w:rPr>
              <w:t>37.92</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bl>
    <w:p>
      <w:pPr>
        <w:spacing w:lineRule="exact" w:line="400" w:after="120"/>
      </w:pPr>
    </w:p>
    <w:p>
      <w:pPr>
        <w:spacing w:lineRule="auto" w:line="240" w:after="60"/>
        <w:ind/>
        <w:jc w:val="center"/>
      </w:pPr>
      <w:r>
        <w:drawing>
          <wp:inline xmlns:a="http://schemas.openxmlformats.org/drawingml/2006/main" xmlns:pic="http://schemas.openxmlformats.org/drawingml/2006/picture">
            <wp:extent cx="4860000" cy="8517356"/>
            <wp:docPr id="14" name="Picture 14"/>
            <wp:cNvGraphicFramePr>
              <a:graphicFrameLocks noChangeAspect="1"/>
            </wp:cNvGraphicFramePr>
            <a:graphic>
              <a:graphicData uri="http://schemas.openxmlformats.org/drawingml/2006/picture">
                <pic:pic>
                  <pic:nvPicPr>
                    <pic:cNvPr id="0" name="eda_contact_sheet.png"/>
                    <pic:cNvPicPr/>
                  </pic:nvPicPr>
                  <pic:blipFill>
                    <a:blip r:embed="rId28"/>
                    <a:stretch>
                      <a:fillRect/>
                    </a:stretch>
                  </pic:blipFill>
                  <pic:spPr>
                    <a:xfrm>
                      <a:off x="0" y="0"/>
                      <a:ext cx="4860000" cy="8517356"/>
                    </a:xfrm>
                    <a:prstGeom prst="rect"/>
                  </pic:spPr>
                </pic:pic>
              </a:graphicData>
            </a:graphic>
          </wp:inline>
        </w:drawing>
      </w:r>
    </w:p>
    <w:p>
      <w:pPr>
        <w:spacing w:lineRule="exact" w:line="400" w:after="120"/>
        <w:ind/>
        <w:jc w:val="center"/>
      </w:pPr>
      <w:r>
        <w:rPr>
          <w:sz w:val="24"/>
          <w:rFonts w:eastAsia="宋体" w:ascii="Times New Roman" w:hAnsi="Times New Roman"/>
        </w:rPr>
        <w:t>图 6-4 公开EDA案例解析与算法结果总览</w:t>
      </w:r>
    </w:p>
    <w:tbl>
      <w:tblPr>
        <w:tblStyle w:val="33"/>
        <w:tblW w:type="auto" w:w="0"/>
        <w:jc w:val="center"/>
        <w:tblLook w:firstColumn="1" w:firstRow="1" w:lastColumn="0" w:lastRow="0" w:noHBand="0" w:noVBand="1" w:val="04A0"/>
      </w:tblPr>
      <w:tblGrid>
        <w:gridCol w:w="4535"/>
        <w:gridCol w:w="4535"/>
      </w:tblGrid>
      <w:tr>
        <w:tc>
          <w:tcPr>
            <w:tcW w:type="dxa" w:w="4535"/>
            <w:vAlign w:val="center"/>
          </w:tcPr>
          <w:p>
            <w:pPr>
              <w:jc w:val="center"/>
            </w:pPr>
            <w:r>
              <w:rPr>
                <w:b/>
                <w:sz w:val="18"/>
                <w:rFonts w:eastAsia="黑体" w:ascii="Times New Roman" w:hAnsi="Times New Roman"/>
              </w:rPr>
              <w:t>原始PCB</w:t>
            </w:r>
          </w:p>
          <w:p>
            <w:pPr>
              <w:jc w:val="center"/>
            </w:pPr>
            <w:r>
              <w:drawing>
                <wp:inline xmlns:a="http://schemas.openxmlformats.org/drawingml/2006/main" xmlns:pic="http://schemas.openxmlformats.org/drawingml/2006/picture">
                  <wp:extent cx="2628000" cy="1858713"/>
                  <wp:docPr id="15" name="Picture 15"/>
                  <wp:cNvGraphicFramePr>
                    <a:graphicFrameLocks noChangeAspect="1"/>
                  </wp:cNvGraphicFramePr>
                  <a:graphic>
                    <a:graphicData uri="http://schemas.openxmlformats.org/drawingml/2006/picture">
                      <pic:pic>
                        <pic:nvPicPr>
                          <pic:cNvPr id="0" name="01_original_pcb.png"/>
                          <pic:cNvPicPr/>
                        </pic:nvPicPr>
                        <pic:blipFill>
                          <a:blip r:embed="rId29"/>
                          <a:stretch>
                            <a:fillRect/>
                          </a:stretch>
                        </pic:blipFill>
                        <pic:spPr>
                          <a:xfrm>
                            <a:off x="0" y="0"/>
                            <a:ext cx="2628000" cy="1858713"/>
                          </a:xfrm>
                          <a:prstGeom prst="rect"/>
                        </pic:spPr>
                      </pic:pic>
                    </a:graphicData>
                  </a:graphic>
                </wp:inline>
              </w:drawing>
            </w:r>
          </w:p>
        </w:tc>
        <w:tc>
          <w:tcPr>
            <w:tcW w:type="dxa" w:w="4535"/>
            <w:vAlign w:val="center"/>
          </w:tcPr>
          <w:p>
            <w:pPr>
              <w:jc w:val="center"/>
            </w:pPr>
            <w:r>
              <w:rPr>
                <w:b/>
                <w:sz w:val="18"/>
                <w:rFonts w:eastAsia="黑体" w:ascii="Times New Roman" w:hAnsi="Times New Roman"/>
              </w:rPr>
              <w:t>解析覆盖</w:t>
            </w:r>
          </w:p>
          <w:p>
            <w:pPr>
              <w:jc w:val="center"/>
            </w:pPr>
            <w:r>
              <w:drawing>
                <wp:inline xmlns:a="http://schemas.openxmlformats.org/drawingml/2006/main" xmlns:pic="http://schemas.openxmlformats.org/drawingml/2006/picture">
                  <wp:extent cx="2628000" cy="1244716"/>
                  <wp:docPr id="16" name="Picture 16"/>
                  <wp:cNvGraphicFramePr>
                    <a:graphicFrameLocks noChangeAspect="1"/>
                  </wp:cNvGraphicFramePr>
                  <a:graphic>
                    <a:graphicData uri="http://schemas.openxmlformats.org/drawingml/2006/picture">
                      <pic:pic>
                        <pic:nvPicPr>
                          <pic:cNvPr id="0" name="02_parse_overlay.png"/>
                          <pic:cNvPicPr/>
                        </pic:nvPicPr>
                        <pic:blipFill>
                          <a:blip r:embed="rId30"/>
                          <a:stretch>
                            <a:fillRect/>
                          </a:stretch>
                        </pic:blipFill>
                        <pic:spPr>
                          <a:xfrm>
                            <a:off x="0" y="0"/>
                            <a:ext cx="2628000" cy="1244716"/>
                          </a:xfrm>
                          <a:prstGeom prst="rect"/>
                        </pic:spPr>
                      </pic:pic>
                    </a:graphicData>
                  </a:graphic>
                </wp:inline>
              </w:drawing>
            </w:r>
          </w:p>
        </w:tc>
      </w:tr>
      <w:tr>
        <w:tc>
          <w:tcPr>
            <w:tcW w:type="dxa" w:w="4535"/>
            <w:vAlign w:val="center"/>
          </w:tcPr>
          <w:p>
            <w:pPr>
              <w:jc w:val="center"/>
            </w:pPr>
            <w:r>
              <w:rPr>
                <w:b/>
                <w:sz w:val="18"/>
                <w:rFonts w:eastAsia="黑体" w:ascii="Times New Roman" w:hAnsi="Times New Roman"/>
              </w:rPr>
              <w:t>规则基线</w:t>
            </w:r>
          </w:p>
          <w:p>
            <w:pPr>
              <w:jc w:val="center"/>
            </w:pPr>
            <w:r>
              <w:drawing>
                <wp:inline xmlns:a="http://schemas.openxmlformats.org/drawingml/2006/main" xmlns:pic="http://schemas.openxmlformats.org/drawingml/2006/picture">
                  <wp:extent cx="2628000" cy="675225"/>
                  <wp:docPr id="17" name="Picture 17"/>
                  <wp:cNvGraphicFramePr>
                    <a:graphicFrameLocks noChangeAspect="1"/>
                  </wp:cNvGraphicFramePr>
                  <a:graphic>
                    <a:graphicData uri="http://schemas.openxmlformats.org/drawingml/2006/picture">
                      <pic:pic>
                        <pic:nvPicPr>
                          <pic:cNvPr id="0" name="02_baseline_rule.png"/>
                          <pic:cNvPicPr/>
                        </pic:nvPicPr>
                        <pic:blipFill>
                          <a:blip r:embed="rId31"/>
                          <a:stretch>
                            <a:fillRect/>
                          </a:stretch>
                        </pic:blipFill>
                        <pic:spPr>
                          <a:xfrm>
                            <a:off x="0" y="0"/>
                            <a:ext cx="2628000" cy="675225"/>
                          </a:xfrm>
                          <a:prstGeom prst="rect"/>
                        </pic:spPr>
                      </pic:pic>
                    </a:graphicData>
                  </a:graphic>
                </wp:inline>
              </w:drawing>
            </w:r>
          </w:p>
        </w:tc>
        <w:tc>
          <w:tcPr>
            <w:tcW w:type="dxa" w:w="4535"/>
            <w:vAlign w:val="center"/>
          </w:tcPr>
          <w:p>
            <w:pPr>
              <w:jc w:val="center"/>
            </w:pPr>
            <w:r>
              <w:rPr>
                <w:b/>
                <w:sz w:val="18"/>
                <w:rFonts w:eastAsia="黑体" w:ascii="Times New Roman" w:hAnsi="Times New Roman"/>
              </w:rPr>
              <w:t>设计算法</w:t>
            </w:r>
          </w:p>
          <w:p>
            <w:pPr>
              <w:jc w:val="center"/>
            </w:pPr>
            <w:r>
              <w:drawing>
                <wp:inline xmlns:a="http://schemas.openxmlformats.org/drawingml/2006/main" xmlns:pic="http://schemas.openxmlformats.org/drawingml/2006/picture">
                  <wp:extent cx="2628000" cy="675225"/>
                  <wp:docPr id="18" name="Picture 18"/>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32"/>
                          <a:stretch>
                            <a:fillRect/>
                          </a:stretch>
                        </pic:blipFill>
                        <pic:spPr>
                          <a:xfrm>
                            <a:off x="0" y="0"/>
                            <a:ext cx="2628000" cy="675225"/>
                          </a:xfrm>
                          <a:prstGeom prst="rect"/>
                        </pic:spPr>
                      </pic:pic>
                    </a:graphicData>
                  </a:graphic>
                </wp:inline>
              </w:drawing>
            </w:r>
          </w:p>
        </w:tc>
      </w:tr>
    </w:tbl>
    <w:p>
      <w:pPr>
        <w:spacing w:lineRule="exact" w:line="400" w:after="120"/>
        <w:jc w:val="center"/>
      </w:pPr>
      <w:commentRangeStart w:id="2"/>
      <w:r>
        <w:rPr>
          <w:sz w:val="24"/>
          <w:rFonts w:eastAsia="宋体" w:ascii="Times New Roman" w:hAnsi="Times New Roman"/>
        </w:rPr>
        <w:t>图 6-5 pi5 m2 hat公开EDA案例截图对比</w:t>
      </w:r>
      <w:commentRangeEnd w:id="2"/>
      <w:r>
        <w:rPr>
          <w:rStyle w:val="CommentReference"/>
        </w:rPr>
        <w:commentReference w:id="2"/>
      </w:r>
    </w:p>
    <w:tbl>
      <w:tblPr>
        <w:tblStyle w:val="33"/>
        <w:tblW w:type="auto" w:w="0"/>
        <w:jc w:val="center"/>
        <w:tblLook w:firstColumn="1" w:firstRow="1" w:lastColumn="0" w:lastRow="0" w:noHBand="0" w:noVBand="1" w:val="04A0"/>
      </w:tblPr>
      <w:tblGrid>
        <w:gridCol w:w="4535"/>
        <w:gridCol w:w="4535"/>
      </w:tblGrid>
      <w:tr>
        <w:tc>
          <w:tcPr>
            <w:tcW w:type="dxa" w:w="4535"/>
            <w:vAlign w:val="center"/>
          </w:tcPr>
          <w:p>
            <w:pPr>
              <w:jc w:val="center"/>
            </w:pPr>
            <w:r>
              <w:rPr>
                <w:b/>
                <w:sz w:val="18"/>
                <w:rFonts w:eastAsia="黑体" w:ascii="Times New Roman" w:hAnsi="Times New Roman"/>
              </w:rPr>
              <w:t>原始PCB</w:t>
            </w:r>
          </w:p>
          <w:p>
            <w:pPr>
              <w:jc w:val="center"/>
            </w:pPr>
            <w:r>
              <w:drawing>
                <wp:inline xmlns:a="http://schemas.openxmlformats.org/drawingml/2006/main" xmlns:pic="http://schemas.openxmlformats.org/drawingml/2006/picture">
                  <wp:extent cx="2628000" cy="2030727"/>
                  <wp:docPr id="19" name="Picture 19"/>
                  <wp:cNvGraphicFramePr>
                    <a:graphicFrameLocks noChangeAspect="1"/>
                  </wp:cNvGraphicFramePr>
                  <a:graphic>
                    <a:graphicData uri="http://schemas.openxmlformats.org/drawingml/2006/picture">
                      <pic:pic>
                        <pic:nvPicPr>
                          <pic:cNvPr id="0" name="01_original_pcb.png"/>
                          <pic:cNvPicPr/>
                        </pic:nvPicPr>
                        <pic:blipFill>
                          <a:blip r:embed="rId33"/>
                          <a:stretch>
                            <a:fillRect/>
                          </a:stretch>
                        </pic:blipFill>
                        <pic:spPr>
                          <a:xfrm>
                            <a:off x="0" y="0"/>
                            <a:ext cx="2628000" cy="2030727"/>
                          </a:xfrm>
                          <a:prstGeom prst="rect"/>
                        </pic:spPr>
                      </pic:pic>
                    </a:graphicData>
                  </a:graphic>
                </wp:inline>
              </w:drawing>
            </w:r>
          </w:p>
        </w:tc>
        <w:tc>
          <w:tcPr>
            <w:tcW w:type="dxa" w:w="4535"/>
            <w:vAlign w:val="center"/>
          </w:tcPr>
          <w:p>
            <w:pPr>
              <w:jc w:val="center"/>
            </w:pPr>
            <w:r>
              <w:rPr>
                <w:b/>
                <w:sz w:val="18"/>
                <w:rFonts w:eastAsia="黑体" w:ascii="Times New Roman" w:hAnsi="Times New Roman"/>
              </w:rPr>
              <w:t>解析覆盖</w:t>
            </w:r>
          </w:p>
          <w:p>
            <w:pPr>
              <w:jc w:val="center"/>
            </w:pPr>
            <w:r>
              <w:drawing>
                <wp:inline xmlns:a="http://schemas.openxmlformats.org/drawingml/2006/main" xmlns:pic="http://schemas.openxmlformats.org/drawingml/2006/picture">
                  <wp:extent cx="2628000" cy="1244716"/>
                  <wp:docPr id="20" name="Picture 20"/>
                  <wp:cNvGraphicFramePr>
                    <a:graphicFrameLocks noChangeAspect="1"/>
                  </wp:cNvGraphicFramePr>
                  <a:graphic>
                    <a:graphicData uri="http://schemas.openxmlformats.org/drawingml/2006/picture">
                      <pic:pic>
                        <pic:nvPicPr>
                          <pic:cNvPr id="0" name="02_parse_overlay.png"/>
                          <pic:cNvPicPr/>
                        </pic:nvPicPr>
                        <pic:blipFill>
                          <a:blip r:embed="rId34"/>
                          <a:stretch>
                            <a:fillRect/>
                          </a:stretch>
                        </pic:blipFill>
                        <pic:spPr>
                          <a:xfrm>
                            <a:off x="0" y="0"/>
                            <a:ext cx="2628000" cy="1244716"/>
                          </a:xfrm>
                          <a:prstGeom prst="rect"/>
                        </pic:spPr>
                      </pic:pic>
                    </a:graphicData>
                  </a:graphic>
                </wp:inline>
              </w:drawing>
            </w:r>
          </w:p>
        </w:tc>
      </w:tr>
      <w:tr>
        <w:tc>
          <w:tcPr>
            <w:tcW w:type="dxa" w:w="4535"/>
            <w:vAlign w:val="center"/>
          </w:tcPr>
          <w:p>
            <w:pPr>
              <w:jc w:val="center"/>
            </w:pPr>
            <w:r>
              <w:rPr>
                <w:b/>
                <w:sz w:val="18"/>
                <w:rFonts w:eastAsia="黑体" w:ascii="Times New Roman" w:hAnsi="Times New Roman"/>
              </w:rPr>
              <w:t>规则基线</w:t>
            </w:r>
          </w:p>
          <w:p>
            <w:pPr>
              <w:jc w:val="center"/>
            </w:pPr>
            <w:r>
              <w:drawing>
                <wp:inline xmlns:a="http://schemas.openxmlformats.org/drawingml/2006/main" xmlns:pic="http://schemas.openxmlformats.org/drawingml/2006/picture">
                  <wp:extent cx="2628000" cy="1304444"/>
                  <wp:docPr id="21" name="Picture 21"/>
                  <wp:cNvGraphicFramePr>
                    <a:graphicFrameLocks noChangeAspect="1"/>
                  </wp:cNvGraphicFramePr>
                  <a:graphic>
                    <a:graphicData uri="http://schemas.openxmlformats.org/drawingml/2006/picture">
                      <pic:pic>
                        <pic:nvPicPr>
                          <pic:cNvPr id="0" name="02_baseline_rule.png"/>
                          <pic:cNvPicPr/>
                        </pic:nvPicPr>
                        <pic:blipFill>
                          <a:blip r:embed="rId35"/>
                          <a:stretch>
                            <a:fillRect/>
                          </a:stretch>
                        </pic:blipFill>
                        <pic:spPr>
                          <a:xfrm>
                            <a:off x="0" y="0"/>
                            <a:ext cx="2628000" cy="1304444"/>
                          </a:xfrm>
                          <a:prstGeom prst="rect"/>
                        </pic:spPr>
                      </pic:pic>
                    </a:graphicData>
                  </a:graphic>
                </wp:inline>
              </w:drawing>
            </w:r>
          </w:p>
        </w:tc>
        <w:tc>
          <w:tcPr>
            <w:tcW w:type="dxa" w:w="4535"/>
            <w:vAlign w:val="center"/>
          </w:tcPr>
          <w:p>
            <w:pPr>
              <w:jc w:val="center"/>
            </w:pPr>
            <w:r>
              <w:rPr>
                <w:b/>
                <w:sz w:val="18"/>
                <w:rFonts w:eastAsia="黑体" w:ascii="Times New Roman" w:hAnsi="Times New Roman"/>
              </w:rPr>
              <w:t>设计算法</w:t>
            </w:r>
          </w:p>
          <w:p>
            <w:pPr>
              <w:jc w:val="center"/>
            </w:pPr>
            <w:r>
              <w:drawing>
                <wp:inline xmlns:a="http://schemas.openxmlformats.org/drawingml/2006/main" xmlns:pic="http://schemas.openxmlformats.org/drawingml/2006/picture">
                  <wp:extent cx="2628000" cy="1304444"/>
                  <wp:docPr id="22" name="Picture 22"/>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36"/>
                          <a:stretch>
                            <a:fillRect/>
                          </a:stretch>
                        </pic:blipFill>
                        <pic:spPr>
                          <a:xfrm>
                            <a:off x="0" y="0"/>
                            <a:ext cx="2628000" cy="1304444"/>
                          </a:xfrm>
                          <a:prstGeom prst="rect"/>
                        </pic:spPr>
                      </pic:pic>
                    </a:graphicData>
                  </a:graphic>
                </wp:inline>
              </w:drawing>
            </w:r>
          </w:p>
        </w:tc>
      </w:tr>
    </w:tbl>
    <w:p>
      <w:pPr>
        <w:spacing w:lineRule="exact" w:line="400" w:after="120"/>
        <w:jc w:val="center"/>
      </w:pPr>
      <w:r>
        <w:rPr>
          <w:sz w:val="24"/>
          <w:rFonts w:eastAsia="宋体" w:ascii="Times New Roman" w:hAnsi="Times New Roman"/>
        </w:rPr>
        <w:t>图 6-6 usb3 ngff carrier公开EDA案例截图对比</w:t>
      </w:r>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commentRangeStart w:id="3"/>
      <w:r>
        <w:rPr>
          <w:rFonts w:ascii="Times New Roman" w:hAnsi="Times New Roman" w:eastAsia="黑体"/>
          <w:b/>
          <w:color w:val="000000" w:themeColor="text1"/>
          <w:sz w:val="32"/>
          <w14:textFill>
            <w14:solidFill>
              <w14:schemeClr w14:val="tx1"/>
            </w14:solidFill>
          </w14:textFill>
        </w:rPr>
        <w:t>7.2 不足与展望</w:t>
      </w:r>
      <w:commentRangeEnd w:id="3"/>
      <w:r>
        <w:rPr>
          <w:rStyle w:val="CommentReference"/>
        </w:rPr>
        <w:commentReference w:id="3"/>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整合审阅" w:initials="CX" w:date="2026-05-16T17:00:07Z">
    <w:p>
      <w:pPr>
        <w:pStyle w:val="CommentText"/>
      </w:pPr>
      <w:r>
        <w:rPr>
          <w:rStyle w:val="CommentReference"/>
        </w:rPr>
        <w:annotationRef/>
      </w:r>
      <w:r>
        <w:t>本节为本次整合新增内容，来源于补充稿、tools/eda_case_experiments.py、data/eda_cases/*.csv 和 results/eda_cases/*。正文强调公开EDA文件的轻量级解析，避免夸大为企业级完整EDA导入。</w:t>
      </w:r>
    </w:p>
  </w:comment>
  <w:comment w:id="1" w:author="Codex 整合审阅" w:initials="CX" w:date="2026-05-16T17:00:07Z">
    <w:p>
      <w:pPr>
        <w:pStyle w:val="CommentText"/>
      </w:pPr>
      <w:r>
        <w:rPr>
          <w:rStyle w:val="CommentReference"/>
        </w:rPr>
        <w:annotationRef/>
      </w:r>
      <w:r>
        <w:t>本节用7个公开EDA案例替换旧版4个KiCad案例，指标来自 results/eda_cases/summary.csv；平均布通率、面积占比和违规数均按CSV直接汇总。</w:t>
      </w:r>
    </w:p>
  </w:comment>
  <w:comment w:id="2" w:author="Codex 整合审阅" w:initials="CX" w:date="2026-05-16T17:00:07Z">
    <w:p>
      <w:pPr>
        <w:pStyle w:val="CommentText"/>
      </w:pPr>
      <w:r>
        <w:rPr>
          <w:rStyle w:val="CommentReference"/>
        </w:rPr>
        <w:annotationRef/>
      </w:r>
      <w:r>
        <w:t>该图选用高密度M.2案例作为代表，可展示规则基线失效和设计算法布通的差异；其余案例可在答辩材料或附录中展开。</w:t>
      </w:r>
    </w:p>
  </w:comment>
  <w:comment w:id="3" w:author="Codex 整合审阅" w:initials="CX" w:date="2026-05-16T17:00:07Z">
    <w:p>
      <w:pPr>
        <w:pStyle w:val="CommentText"/>
      </w:pPr>
      <w:r>
        <w:rPr>
          <w:rStyle w:val="CommentReference"/>
        </w:rPr>
        <w:annotationRef/>
      </w:r>
      <w:r>
        <w:t>正文已按用户要求压缩不足表述。可在答辩或后续修改中补充说明：ODB++/IPC-2581、层叠与过孔成本、差分阻抗、制造厂完整DRC、真实企业数据验证、GUI可视化和学习型线序优化等仍属于后续扩展方向。</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