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22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武汉理工大学</w:t>
      </w:r>
    </w:p>
    <w:p w14:paraId="0CF04AF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本科毕业设计（论文）</w:t>
      </w:r>
    </w:p>
    <w:p w14:paraId="127F74C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面向PCB金手指的测试尾板布点布线设计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7"/>
        <w:gridCol w:w="4677"/>
      </w:tblGrid>
      <w:tr w14:paraId="1DD50E23">
        <w:trPr>
          <w:tblHeader/>
          <w:jc w:val="center"/>
        </w:trPr>
        <w:tc>
          <w:tcPr>
            <w:tcW w:w="2268" w:type="dxa"/>
            <w:vAlign w:val="center"/>
          </w:tcPr>
          <w:p w14:paraId="04B663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学院</w:t>
            </w:r>
          </w:p>
        </w:tc>
        <w:tc>
          <w:tcPr>
            <w:tcW w:w="5102" w:type="dxa"/>
            <w:vAlign w:val="center"/>
          </w:tcPr>
          <w:p w14:paraId="39C1C6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信息工程学院</w:t>
            </w:r>
          </w:p>
        </w:tc>
      </w:tr>
      <w:tr w14:paraId="1FE10F07">
        <w:trPr>
          <w:jc w:val="center"/>
        </w:trPr>
        <w:tc>
          <w:tcPr>
            <w:tcW w:w="2268" w:type="dxa"/>
            <w:vAlign w:val="center"/>
          </w:tcPr>
          <w:p w14:paraId="3F8BD2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专业</w:t>
            </w:r>
          </w:p>
        </w:tc>
        <w:tc>
          <w:tcPr>
            <w:tcW w:w="5102" w:type="dxa"/>
            <w:vAlign w:val="center"/>
          </w:tcPr>
          <w:p w14:paraId="36E854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集成电路设计与集成系统</w:t>
            </w:r>
          </w:p>
        </w:tc>
      </w:tr>
      <w:tr w14:paraId="1821AF46">
        <w:trPr>
          <w:jc w:val="center"/>
        </w:trPr>
        <w:tc>
          <w:tcPr>
            <w:tcW w:w="2268" w:type="dxa"/>
            <w:vAlign w:val="center"/>
          </w:tcPr>
          <w:p w14:paraId="098C5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班级</w:t>
            </w:r>
          </w:p>
        </w:tc>
        <w:tc>
          <w:tcPr>
            <w:tcW w:w="5102" w:type="dxa"/>
            <w:vAlign w:val="center"/>
          </w:tcPr>
          <w:p w14:paraId="29D8E2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集成电路2201</w:t>
            </w:r>
          </w:p>
        </w:tc>
      </w:tr>
      <w:tr w14:paraId="3F5A9CF5">
        <w:trPr>
          <w:jc w:val="center"/>
        </w:trPr>
        <w:tc>
          <w:tcPr>
            <w:tcW w:w="2268" w:type="dxa"/>
            <w:vAlign w:val="center"/>
          </w:tcPr>
          <w:p w14:paraId="252A0D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学生姓名</w:t>
            </w:r>
          </w:p>
        </w:tc>
        <w:tc>
          <w:tcPr>
            <w:tcW w:w="5102" w:type="dxa"/>
            <w:vAlign w:val="center"/>
          </w:tcPr>
          <w:p w14:paraId="569A6C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刘政</w:t>
            </w:r>
          </w:p>
        </w:tc>
      </w:tr>
      <w:tr w14:paraId="3FDC1176">
        <w:trPr>
          <w:jc w:val="center"/>
        </w:trPr>
        <w:tc>
          <w:tcPr>
            <w:tcW w:w="2268" w:type="dxa"/>
            <w:vAlign w:val="center"/>
          </w:tcPr>
          <w:p w14:paraId="201FE4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指导教师</w:t>
            </w:r>
          </w:p>
        </w:tc>
        <w:tc>
          <w:tcPr>
            <w:tcW w:w="5102" w:type="dxa"/>
            <w:vAlign w:val="center"/>
          </w:tcPr>
          <w:p w14:paraId="094C1B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徐宁</w:t>
            </w:r>
          </w:p>
        </w:tc>
      </w:tr>
      <w:tr w14:paraId="6FFF9525">
        <w:trPr>
          <w:jc w:val="center"/>
        </w:trPr>
        <w:tc>
          <w:tcPr>
            <w:tcW w:w="2268" w:type="dxa"/>
            <w:vAlign w:val="center"/>
          </w:tcPr>
          <w:p w14:paraId="389961F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完成日期</w:t>
            </w:r>
          </w:p>
        </w:tc>
        <w:tc>
          <w:tcPr>
            <w:tcW w:w="5102" w:type="dxa"/>
            <w:vAlign w:val="center"/>
          </w:tcPr>
          <w:p w14:paraId="3B354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2026年5月</w:t>
            </w:r>
          </w:p>
        </w:tc>
      </w:tr>
      <w:tr w14:paraId="4BD794A0">
        <w:trPr>
          <w:jc w:val="center"/>
        </w:trPr>
        <w:tc>
          <w:tcPr>
            <w:tcW w:w="2268" w:type="dxa"/>
            <w:vAlign w:val="center"/>
          </w:tcPr>
          <w:p w14:paraId="2D94369F">
            <w:pPr>
              <w:spacing w:before="0" w:after="120" w:line="320" w:lineRule="exact"/>
              <w:jc w:val="center"/>
              <w:rPr>
                <w:color w:val="000000" w:themeColor="text1"/>
                <w14:textFill>
                  <w14:solidFill>
                    <w14:schemeClr w14:val="tx1"/>
                  </w14:solidFill>
                </w14:textFill>
              </w:rPr>
            </w:pPr>
          </w:p>
        </w:tc>
        <w:tc>
          <w:tcPr>
            <w:tcW w:w="5102" w:type="dxa"/>
            <w:vAlign w:val="center"/>
          </w:tcPr>
          <w:p w14:paraId="6E5D7733">
            <w:pPr>
              <w:spacing w:before="0" w:after="120" w:line="320" w:lineRule="exact"/>
              <w:jc w:val="center"/>
              <w:rPr>
                <w:color w:val="000000" w:themeColor="text1"/>
                <w14:textFill>
                  <w14:solidFill>
                    <w14:schemeClr w14:val="tx1"/>
                  </w14:solidFill>
                </w14:textFill>
              </w:rPr>
            </w:pPr>
          </w:p>
        </w:tc>
      </w:tr>
    </w:tbl>
    <w:p w14:paraId="01E3081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2CC7D4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学位论文原创性声明</w:t>
      </w:r>
    </w:p>
    <w:p w14:paraId="21084DB6">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人郑重声明：所呈交的毕业设计（论文）是本人在指导教师指导下独立进行研究所取得的成果。除文中已经注明引用的内容外，本论文不包含任何其他个人或集体已经发表或撰写过的作品或成果。对本文研究作出重要贡献的个人和集体，均已在文中以明确方式标明。本人完全意识到本声明的法律后果由本人承担。</w:t>
      </w:r>
    </w:p>
    <w:p w14:paraId="2A816DA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作者签名：                       年    月    日</w:t>
      </w:r>
    </w:p>
    <w:p w14:paraId="1FA7B530">
      <w:pPr>
        <w:spacing w:before="0" w:after="120" w:line="400" w:lineRule="exact"/>
        <w:ind w:firstLine="420"/>
        <w:jc w:val="both"/>
        <w:rPr>
          <w:color w:val="000000" w:themeColor="text1"/>
          <w14:textFill>
            <w14:solidFill>
              <w14:schemeClr w14:val="tx1"/>
            </w14:solidFill>
          </w14:textFill>
        </w:rPr>
        <w:sectPr>
          <w:headerReference w:type="default" r:id="rId24"/>
          <w:footerReference w:type="default" r:id="rId25"/>
          <w:pgSz w:w="11906" w:h="16838"/>
          <w:pgMar w:top="1417" w:right="1134" w:bottom="1134" w:left="1417" w:header="1474" w:footer="1361" w:gutter="0"/>
          <w:cols w:space="720" w:num="1"/>
          <w:docGrid w:linePitch="360" w:charSpace="0"/>
        </w:sectPr>
      </w:pPr>
      <w:r>
        <w:rPr>
          <w:rFonts w:ascii="Times New Roman" w:hAnsi="Times New Roman" w:eastAsia="宋体"/>
          <w:b w:val="0"/>
          <w:color w:val="000000" w:themeColor="text1"/>
          <w:sz w:val="24"/>
          <w14:textFill>
            <w14:solidFill>
              <w14:schemeClr w14:val="tx1"/>
            </w14:solidFill>
          </w14:textFill>
        </w:rPr>
        <w:t>指导教师签名：                   年    月    日</w:t>
      </w:r>
    </w:p>
    <w:p w14:paraId="79B224D7">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黑体" w:ascii="Times New Roman" w:hAnsi="Times New Roman"/>
        </w:rPr>
        <w:t>摘  要</w:t>
      </w:r>
    </w:p>
    <w:p w14:paraId="2EFFC55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CB金手指是板卡与外部设备、测试夹具及扩展接口实现电气连接的关键边缘接口，具有端子密度高、边缘空间受限、信号类型混合和接触可靠性要求高等特点。针对生产测试阶段人工布点布线效率较低、局部通道易拥塞和尾板面积利用不足等问题，本文面向PCB金手指测试尾板构建几何约束与布线约束统一的布点布线模型。在A*路径搜索和PSO-Hanan布点框架基础上，引入网络流容量建模、领域模型分区、蚁群信息素启发和合法化约束分层思想，形成“候选测试点生成—约束筛选—布点优化—拥塞感知布线—拆线重布—指标评估”的自动化流程。算法将尾板区域抽象为网格与Tile混合模型，区分测试点间距、障碍避让、边界余量等硬约束与面积、线长、拥塞等软目标。在五组参数化案例中，所提方法均实现100%覆盖率与100%布通率，平均尾板面积占比由基线方案的59.19%降低至14.57%，平均总线长由2014.40 mm降低至838.60 mm。本文还补充公开EDA文件解析流程，将KiCad原生板文件、Gerber层文件和Excellon钻孔文件中的端子、板框及制造信息转换为算法CSV输入，并在7个公开EDA案例中完成验证。结果显示，设计算法将平均布通率由72.94%提升至100.00%，平均尾板面积占比由72.30%降低至27.80%。研究结果表明，所提方法能够为金手指测试尾板自动化设计提供可解释、可复现的算法基础。</w:t>
      </w:r>
    </w:p>
    <w:p w14:paraId="2C1967A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关键词：PCB金手指；测试尾板；布点布线；拥塞感知；A*算法</w:t>
      </w:r>
    </w:p>
    <w:p w14:paraId="1B17B0DB">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733BC8CD">
      <w:pPr>
        <w:pStyle w:val="3"/>
        <w:spacing w:lineRule="exact" w:line="400" w:before="200" w:after="200"/>
        <w:jc w:val="center"/>
        <w:rPr>
          <w:color w:val="000000" w:themeColor="text1"/>
          <w14:textFill>
            <w14:solidFill>
              <w14:schemeClr w14:val="tx1"/>
            </w14:solidFill>
          </w14:textFill>
        </w:rPr>
      </w:pPr>
      <w:r>
        <w:rPr>
          <w:b/>
          <w:color w:val="000000" w:themeColor="text1"/>
          <w14:textFill>
            <w14:solidFill>
              <w14:schemeClr w14:val="tx1"/>
            </w14:solidFill>
          </w14:textFill>
          <w:sz w:val="36"/>
          <w:rFonts w:eastAsia="Times New Roman" w:ascii="Times New Roman" w:hAnsi="Times New Roman"/>
        </w:rPr>
        <w:t>Abstract</w:t>
      </w:r>
    </w:p>
    <w:p w14:paraId="088E449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Times New Roman"/>
          <w:sz w:val="24"/>
        </w:rPr>
        <w:t>PCB gold fingers are dense edge contacts used for board-level interconnection, fixture contact, and functional testing. A test tailboard must place accessible test pads in a constrained extension region and route each gold-finger terminal to its corresponding pad while satisfying spacing, obstacle-avoidance, boundary-margin, and manufacturability requirements. To reduce reliance on manual experience in high-density and area-limited scenarios, this thesis establishes an integrated placement-and-routing model for PCB gold-finger test tailboards. On the basis of an A*-based routing and PSO-Hanan placement framework, the proposed method incorporates network-flow capacity modeling, domain-model partitioning, ant-colony-inspired congestion feedback, and legalization-oriented rule stratification. The tailboard region is represented by a hybrid grid-and-Tile model. Pad spacing, obstacle clearance, and boundary margins are treated as hard constraints, whereas occupied area, routing length, and congestion are optimized as soft objectives. Five parameterized cases show that the proposed scheme achieves full pad coverage and full routability; compared with the rule-based baseline, the average occupied tailboard-area ratio is reduced from 59.19% to 14.57%, and the average total routing length is reduced from 2014.40 mm to 838.60 mm. Furthermore, this thesis supplements a public EDA-file parsing workflow that converts KiCad board files, Gerber layers, and Excellon drill files into algorithmic CSV inputs. The workflow extracts connector candidates, pad coordinates, board outlines, layer-file statistics, and drill-hit information, thereby linking open-source EDA projects with the same placement-and-routing engine used in the parameterized experiments. Seven public EDA cases are used for case-based validation. The results show that the average routability is improved from 72.94% to 100.00%, while the average occupied tailboard-area ratio is reduced from 72.30% to 27.80%. The study provides an interpretable and reproducible algorithmic basis for automated test-tailboard design and later integration into domestic EDA toolchains.</w:t>
      </w:r>
    </w:p>
    <w:p w14:paraId="3E21446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Key words: PCB gold finger; test tailboard; placement and routing; congestion-aware routing; A* algorithm</w:t>
      </w:r>
    </w:p>
    <w:p w14:paraId="10306B3F">
      <w:pPr>
        <w:spacing w:lineRule="exact" w:line="400" w:before="0" w:after="120"/>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br w:type="page"/>
      </w:r>
    </w:p>
    <w:p w14:paraId="29C6946C">
      <w:pPr>
        <w:pStyle w:val="3"/>
        <w:spacing w:lineRule="exact" w:line="400" w:before="200" w:after="2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目  录</w:t>
      </w:r>
    </w:p>
    <w:p w14:paraId="52C304BB">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 绪论</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29701CE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1.1 研究背景</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051CC1B">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1.2 国内外研究现状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w:t>
      </w:r>
    </w:p>
    <w:p w14:paraId="1B771084">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1.3 研究内容与论文结构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3</w:t>
      </w:r>
    </w:p>
    <w:p w14:paraId="3A8AD93E">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1.4 任务书要求与完成情况</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4</w:t>
      </w:r>
    </w:p>
    <w:p w14:paraId="512BFFB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1.5 本文创新点</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5</w:t>
      </w:r>
    </w:p>
    <w:p w14:paraId="5DB196D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 相关理论与约束建模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18353248">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2.1 PCB金手指与测试尾板结构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62BB40AD">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2.2 布点布线数学模型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6</w:t>
      </w:r>
    </w:p>
    <w:p w14:paraId="0DC0A525">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2.3 基于Tile和网络流思想的尾板等效建模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7C351A8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2.4 约束优先级与合法性判定</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7</w:t>
      </w:r>
    </w:p>
    <w:p w14:paraId="3FE1BD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2.5 文献理论到本文模型的转化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8</w:t>
      </w:r>
    </w:p>
    <w:p w14:paraId="550F5CF4">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 测试点布点算法设计</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3A369A7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3.1 候选点生成</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8E23BF1">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3.2 K-means初始分组</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4572F70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3.3 禁忌搜索局部优化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54D0446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3.4 改进后的布点目标函数与步骤</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10</w:t>
      </w:r>
    </w:p>
    <w:p w14:paraId="26367C7D">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 布线算法与协同优化</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15DB4D73">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4.1 A*网格布线</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FFEE2FA">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4.2 布点布线协同优化机制</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2A45977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4.3 拥塞感知与拆线重布策略</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12</w:t>
      </w:r>
    </w:p>
    <w:p w14:paraId="651DD177">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4.4 分层布线与重布线改进流程</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13</w:t>
      </w:r>
    </w:p>
    <w:p w14:paraId="0962E936">
      <w:pPr>
        <w:pageBreakBefore w:val="0"/>
        <w:tabs>
          <w:tab w:val="right" w:leader="dot" w:pos="8617"/>
        </w:tabs>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 系统实现</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2438995C">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5.1 工程结构与运行方式</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3C1933F0">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5.2 输出文件说明</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75AAC6E2">
      <w:pPr>
        <w:pageBreakBefore w:val="0"/>
        <w:tabs>
          <w:tab w:val="right" w:leader="dot" w:pos="8617"/>
        </w:tabs>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 xml:space="preserve">    5.3 关键函数与数据流</w:t>
      </w:r>
      <w:r>
        <w:rPr>
          <w:rFonts w:ascii="Times New Roman" w:hAnsi="Times New Roman" w:eastAsia="宋体"/>
          <w:b w:val="0"/>
          <w:color w:val="000000" w:themeColor="text1"/>
          <w:sz w:val="24"/>
          <w14:textFill>
            <w14:solidFill>
              <w14:schemeClr w14:val="tx1"/>
            </w14:solidFill>
          </w14:textFill>
        </w:rPr>
        <w:tab/>
      </w:r>
      <w:r>
        <w:rPr>
          <w:rFonts w:ascii="Times New Roman" w:hAnsi="Times New Roman" w:eastAsia="宋体"/>
          <w:b w:val="0"/>
          <w:color w:val="000000" w:themeColor="text1"/>
          <w:sz w:val="24"/>
          <w14:textFill>
            <w14:solidFill>
              <w14:schemeClr w14:val="tx1"/>
            </w14:solidFill>
          </w14:textFill>
        </w:rPr>
        <w:t>14</w:t>
      </w:r>
    </w:p>
    <w:p w14:paraId="4DAC9A9B">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5.4 真实EDA文件解析流程</w:t>
        <w:tab/>
        <w:t>15</w:t>
      </w:r>
    </w:p>
    <w:p w14:paraId="0B7DED81">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5.5 文献支撑下的代码模块对应关系</w:t>
        <w:tab/>
        <w:t>16</w:t>
      </w:r>
    </w:p>
    <w:p w14:paraId="3D2BDD5A">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6 实验结果与分析</w:t>
        <w:tab/>
        <w:t>17</w:t>
      </w:r>
    </w:p>
    <w:p w14:paraId="5F07FAAD">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6.1 实验设置</w:t>
        <w:tab/>
        <w:t>17</w:t>
      </w:r>
    </w:p>
    <w:p w14:paraId="2C22927E">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6.2 指标结果</w:t>
        <w:tab/>
        <w:t>17</w:t>
      </w:r>
    </w:p>
    <w:p w14:paraId="622FAA2D">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6.3 公开EDA案例化验证</w:t>
        <w:tab/>
        <w:t>18</w:t>
      </w:r>
    </w:p>
    <w:p w14:paraId="68DB9CA6">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6.4 结果分析</w:t>
        <w:tab/>
        <w:t>20</w:t>
      </w:r>
    </w:p>
    <w:p w14:paraId="47483621">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6.5 消融实验与对比有效性分析</w:t>
        <w:tab/>
        <w:t>21</w:t>
      </w:r>
    </w:p>
    <w:p w14:paraId="53D73006">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 xml:space="preserve">    6.6 参数与工程适用性讨论</w:t>
        <w:tab/>
        <w:t>22</w:t>
      </w:r>
    </w:p>
    <w:p w14:paraId="3083ADEB">
      <w:pPr>
        <w:pageBreakBefore w:val="0"/>
        <w:tabs>
          <w:tab w:val="right" w:leader="dot" w:pos="8617"/>
        </w:tabs>
        <w:spacing w:before="0" w:after="120" w:line="400" w:lineRule="exact"/>
        <w:ind w:firstLine="420"/>
        <w:jc w:val="left"/>
        <w:rPr>
          <w:color w:val="000000" w:themeColor="text1"/>
          <w14:textFill>
            <w14:solidFill>
              <w14:schemeClr w14:val="tx1"/>
            </w14:solidFill>
          </w14:textFill>
        </w:rPr>
      </w:pPr>
      <w:r>
        <w:rPr>
          <w:b w:val="0"/>
          <w:sz w:val="24"/>
          <w:rFonts w:eastAsia="宋体" w:ascii="Times New Roman" w:hAnsi="Times New Roman"/>
        </w:rPr>
        <w:t>7 总结与展望</w:t>
        <w:tab/>
        <w:t>23</w:t>
      </w:r>
    </w:p>
    <w:p w14:paraId="13A97185">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 xml:space="preserve">    7.1 工作总结</w:t>
        <w:tab/>
        <w:t>23</w:t>
      </w:r>
    </w:p>
    <w:p w14:paraId="1C0CB1E4">
      <w:pPr>
        <w:pageBreakBefore w:val="0"/>
        <w:tabs>
          <w:tab w:val="right" w:leader="dot" w:pos="8617"/>
        </w:tabs>
        <w:spacing w:before="0" w:after="120" w:line="400" w:lineRule="exact"/>
        <w:ind w:firstLine="420"/>
        <w:jc w:val="center"/>
        <w:rPr>
          <w:color w:val="000000" w:themeColor="text1"/>
          <w14:textFill>
            <w14:solidFill>
              <w14:schemeClr w14:val="tx1"/>
            </w14:solidFill>
          </w14:textFill>
        </w:rPr>
        <w:sectPr>
          <w:footerReference r:id="rId5" w:type="default"/>
          <w:headerReference w:type="default" r:id="rId26"/>
          <w:pgSz w:w="11906" w:h="16838"/>
          <w:pgMar w:top="1417" w:right="1134" w:bottom="1134" w:left="1417" w:header="1474" w:footer="1361" w:gutter="0"/>
          <w:cols w:space="720" w:num="1"/>
          <w:docGrid w:linePitch="360" w:charSpace="0"/>
          <w:pgNumType w:fmt="lowerRoman" w:start="1"/>
        </w:sectPr>
      </w:pPr>
      <w:r>
        <w:rPr>
          <w:b w:val="0"/>
          <w:sz w:val="24"/>
          <w:rFonts w:eastAsia="宋体" w:ascii="Times New Roman" w:hAnsi="Times New Roman"/>
        </w:rPr>
        <w:t xml:space="preserve">    7.2 不足与展望</w:t>
        <w:tab/>
        <w:t>24</w:t>
      </w:r>
    </w:p>
    <w:p>
      <w:pPr>
        <w:spacing w:lineRule="exact" w:line="400" w:after="120"/>
        <w:ind w:firstLine="420"/>
      </w:pPr>
      <w:r>
        <w:rPr>
          <w:sz w:val="24"/>
          <w:rFonts w:eastAsia="宋体" w:ascii="Times New Roman" w:hAnsi="Times New Roman"/>
        </w:rPr>
        <w:t>参考文献</w:t>
        <w:tab/>
        <w:t>25</w:t>
      </w:r>
    </w:p>
    <w:p>
      <w:pPr>
        <w:spacing w:lineRule="exact" w:line="400" w:after="120"/>
        <w:ind w:firstLine="420"/>
      </w:pPr>
      <w:r>
        <w:rPr>
          <w:sz w:val="24"/>
          <w:rFonts w:eastAsia="宋体" w:ascii="Times New Roman" w:hAnsi="Times New Roman"/>
        </w:rPr>
        <w:t>致谢</w:t>
        <w:tab/>
        <w:t>27</w:t>
      </w:r>
    </w:p>
    <w:p w14:paraId="091A3601">
      <w:pPr>
        <w:pStyle w:val="3"/>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1 绪论</w:t>
      </w:r>
    </w:p>
    <w:p w14:paraId="709CF85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1.1 研究背景</w:t>
      </w:r>
    </w:p>
    <w:p w14:paraId="509C32A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印制电路板是电子系统的物理承载平台，承担器件安装、网络互连、信号完整性保障和热管理等多重功能。随着服务器、通信设备、工业控制和消费电子产品持续向高速化、小型化和高可靠性方向发展，PCB边缘连接器区域的金手指应用日益普遍。金手指通常采用硬金镀层，位于板边并与插槽、测试夹具或转接板接触，其导通质量直接影响整机连接可靠性。由于金手指区域端子间距小、数量多且信号类型复杂，若生产测试阶段无法高效覆盖全部网络，潜在缺陷可能在后续装配或现场运行中暴露，从而增加返工成本和质量风险。</w:t>
      </w:r>
    </w:p>
    <w:p w14:paraId="59B18A9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测试尾板是围绕被测金手指引出的辅助测试结构，其核心任务是在有限空间内布置可接触测试点，并完成金手指端子到测试点之间的物理连通。相较于普通PCB测试点设计，金手指测试尾板具有三个显著特征：其一，输入端子呈线性密集分布，布线起点高度集中；其二，尾板区域通常受外形、夹具和工艺边界限制，难以通过简单扩大面积解决拥塞；其三，测试点既需满足探针接触要求，又需符合线宽线距、障碍避让和层间切换等制造规则。因此，测试尾板布点布线并非单一几何排布问题，而是布点、布线与规则合法性相互耦合的组合优化问题。</w:t>
      </w:r>
    </w:p>
    <w:p w14:paraId="2D0A5A1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现有工程实践中，测试尾板设计仍较多依赖人工经验。工程师通常先依据金手指数量估算尾板尺寸，再按网格或行列方式放置测试点，随后在EDA工具中反复尝试布线和局部调整。该流程直观，但迭代成本较高；一旦局部区域无法布通，就需要重新调整测试点位置甚至修改尾板尺寸。对于低密度板卡，人工方案尚能满足需求；对于高密度或面积受限场景，经验规则容易造成空间利用不足、线长偏大和局部拥塞。引入自动化布点布线算法，有助于在设计早期快速评估可行性，减少反复试错，并为国产EDA工具中的测试可制造性设计模块提供可复用方法。</w:t>
      </w:r>
    </w:p>
    <w:p w14:paraId="27081C8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1.2 国内外研究现状</w:t>
      </w:r>
    </w:p>
    <w:p w14:paraId="3A68379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测性设计领域长期关注如何在电路设计阶段提高缺陷可观测性和可控制性。Khalil等对电路与系统层面的DFT技术进行了综述，强调在设计阶段插入测试资源能够降低后续测试难度[1]；Shi等提出DeepTPI，将深度强化学习、图神经网络和DQN用于测试点插入位置选择，并把测试覆盖率提升作为奖励目标[2]；Yang等提出利用功能触发器驱动控制测试点，以减少额外测试硬件开销[3]。上述研究为“测试点插入”提供了理论基础，但其对象主要是芯片级逻辑网络，测试点位置对应逻辑节点，而本文面向PCB金手指尾板，测试点位置对应二维几何空间中的可接触焊盘，因此需要把TPI思想转换为“候选点选择+几何合法性+布线可达性”的组合优化问题。</w:t>
      </w:r>
    </w:p>
    <w:p w14:paraId="2DFD24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自动布线研究通常可从多个维度划分：按流程可分为全局布线和细节布线，按连接目标可分为两端布线和多端布线，按场景可分为逃逸布线和通道布线，按建模方式可分为网格布线、无网格布线、基于图布线和基于图形布线。Lee迷宫算法、Hightower逃逸线算法、Soukup算法和Hadlock算法代表了传统路径搜索方法</w:t>
      </w:r>
      <w:r>
        <w:rPr>
          <w:rFonts w:ascii="Times New Roman" w:hAnsi="Times New Roman" w:eastAsia="宋体"/>
          <w:b w:val="0"/>
          <w:color w:val="000000" w:themeColor="text1"/>
          <w:sz w:val="24"/>
          <w:vertAlign w:val="superscript"/>
          <w14:textFill>
            <w14:solidFill>
              <w14:schemeClr w14:val="tx1"/>
            </w14:solidFill>
          </w14:textFill>
        </w:rPr>
        <w:t>[8-11]</w:t>
      </w:r>
      <w:r>
        <w:rPr>
          <w:rFonts w:ascii="Times New Roman" w:hAnsi="Times New Roman" w:eastAsia="宋体"/>
          <w:b w:val="0"/>
          <w:color w:val="000000" w:themeColor="text1"/>
          <w:sz w:val="24"/>
          <w14:textFill>
            <w14:solidFill>
              <w14:schemeClr w14:val="tx1"/>
            </w14:solidFill>
          </w14:textFill>
        </w:rPr>
        <w:t>，具有规则清晰、易实现的特点，但在高密度场景下面临搜索空间大、计算耗时高和线序敏感等问题。Yan和Wong指出，逃逸布线、等长布线和网络流建模是PCB布线研究中的重要方向</w:t>
      </w:r>
      <w:r>
        <w:rPr>
          <w:rFonts w:ascii="Times New Roman" w:hAnsi="Times New Roman" w:eastAsia="宋体"/>
          <w:b w:val="0"/>
          <w:color w:val="000000" w:themeColor="text1"/>
          <w:sz w:val="24"/>
          <w:vertAlign w:val="superscript"/>
          <w14:textFill>
            <w14:solidFill>
              <w14:schemeClr w14:val="tx1"/>
            </w14:solidFill>
          </w14:textFill>
        </w:rPr>
        <w:t>[4]</w:t>
      </w:r>
      <w:r>
        <w:rPr>
          <w:rFonts w:ascii="Times New Roman" w:hAnsi="Times New Roman" w:eastAsia="宋体"/>
          <w:b w:val="0"/>
          <w:color w:val="000000" w:themeColor="text1"/>
          <w:sz w:val="24"/>
          <w14:textFill>
            <w14:solidFill>
              <w14:schemeClr w14:val="tx1"/>
            </w14:solidFill>
          </w14:textFill>
        </w:rPr>
        <w:t>；Chen等基于线性规划提出合法化布线算法，为复杂设计规则下的约束处理提供了参考</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。在学习型EDA方面，NS-Place面向PCB布局引入神经网络分离思想</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，DREAMPlace展示了深度学习工具链和GPU加速在大规模布局优化中的可行性</w:t>
      </w:r>
      <w:r>
        <w:rPr>
          <w:rFonts w:ascii="Times New Roman" w:hAnsi="Times New Roman" w:eastAsia="宋体"/>
          <w:b w:val="0"/>
          <w:color w:val="000000" w:themeColor="text1"/>
          <w:sz w:val="24"/>
          <w:vertAlign w:val="superscript"/>
          <w14:textFill>
            <w14:solidFill>
              <w14:schemeClr w14:val="tx1"/>
            </w14:solidFill>
          </w14:textFill>
        </w:rPr>
        <w:t>[12]</w:t>
      </w:r>
      <w:r>
        <w:rPr>
          <w:rFonts w:ascii="Times New Roman" w:hAnsi="Times New Roman" w:eastAsia="宋体"/>
          <w:b w:val="0"/>
          <w:color w:val="000000" w:themeColor="text1"/>
          <w:sz w:val="24"/>
          <w14:textFill>
            <w14:solidFill>
              <w14:schemeClr w14:val="tx1"/>
            </w14:solidFill>
          </w14:textFill>
        </w:rPr>
        <w:t>，Martins对机器学习和深度学习在模拟集成电路布局综合中的应用进行了综述</w:t>
      </w:r>
      <w:r>
        <w:rPr>
          <w:rFonts w:ascii="Times New Roman" w:hAnsi="Times New Roman" w:eastAsia="宋体"/>
          <w:b w:val="0"/>
          <w:color w:val="000000" w:themeColor="text1"/>
          <w:sz w:val="24"/>
          <w:vertAlign w:val="superscript"/>
          <w14:textFill>
            <w14:solidFill>
              <w14:schemeClr w14:val="tx1"/>
            </w14:solidFill>
          </w14:textFill>
        </w:rPr>
        <w:t>[7]</w:t>
      </w:r>
      <w:r>
        <w:rPr>
          <w:rFonts w:ascii="Times New Roman" w:hAnsi="Times New Roman" w:eastAsia="宋体"/>
          <w:b w:val="0"/>
          <w:color w:val="000000" w:themeColor="text1"/>
          <w:sz w:val="24"/>
          <w14:textFill>
            <w14:solidFill>
              <w14:schemeClr w14:val="tx1"/>
            </w14:solidFill>
          </w14:textFill>
        </w:rPr>
        <w:t>。这些研究说明，学习型或神经网络辅助方法正在从芯片布局逐步拓展到PCB/EDA场景，但在本科毕业设计阶段，仍需结合数据规模和实现条件选择可解释的启发式算法。</w:t>
      </w:r>
    </w:p>
    <w:p w14:paraId="4632035A">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结合本文选题，相关国内PCB自动布线研究文献对金手指测试尾板具有直接借鉴价值。胡木森提出基于网络流建模的高性能自动布线方法，将可布线区域抽象为带容量的图结构，并通过预布线动态更新拥塞信息[17]；刘自铭在多层PCB布线中引入蚁群信息素、启发系数、多轮次布线和基于阻塞度的拆线重布策略，关注布通率、过孔、拐点和拥塞均匀性[18]；郑杰提出基于PCB布线领域模型的自动布线系统，把连续人工布线信息转化为离散语义序列，强调学习人工布线范式[19]；白胜泷将Transformer模型与改进A-star算法结合，用学习策略提升逃逸布线的布通率和稳定性[20]；李晓欣的PCB自动布局布线器研究则为PSO、混合优化和绕障布线的工程实现提供了参考[15]。</w:t>
      </w:r>
    </w:p>
    <w:p w14:paraId="4FA5E5C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综上，现有PCB自动布线研究已经形成较完整的理论体系，但多数方法以通用PCB、芯片逃逸或多层板走线为对象，对“端子线性密集、测试点需可接触、尾板面积受夹具限制、布点和布线高度耦合”的测试尾板场景关注不足。因此，本文并非直接套用通用自动布线器，而是将网络流中的容量思想、领域模型中的区域划分思想、蚁群算法中的拥塞反馈思想和线性规划合法化中的约束分层思想转化为轻量化规则，并嵌入C++可运行原型，以满足本科毕业设计对算法可解释性、可复现性和工程适用性的要求。</w:t>
      </w:r>
    </w:p>
    <w:p w14:paraId="4536D2A4">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1-1 主要文献理论来源与本文落地方式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6587681">
        <w:trPr>
          <w:tblHeader/>
          <w:jc w:val="center"/>
        </w:trPr>
        <w:tc>
          <w:tcPr>
            <w:tcW w:w="2268" w:type="dxa"/>
            <w:vAlign w:val="center"/>
          </w:tcPr>
          <w:p w14:paraId="5279EC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文献类别</w:t>
            </w:r>
          </w:p>
        </w:tc>
        <w:tc>
          <w:tcPr>
            <w:tcW w:w="2268" w:type="dxa"/>
            <w:vAlign w:val="center"/>
          </w:tcPr>
          <w:p w14:paraId="7B03D53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代表文献</w:t>
            </w:r>
          </w:p>
        </w:tc>
        <w:tc>
          <w:tcPr>
            <w:tcW w:w="2268" w:type="dxa"/>
            <w:vAlign w:val="center"/>
          </w:tcPr>
          <w:p w14:paraId="392F76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核心理论/方法</w:t>
            </w:r>
          </w:p>
        </w:tc>
        <w:tc>
          <w:tcPr>
            <w:tcW w:w="2268" w:type="dxa"/>
            <w:vAlign w:val="center"/>
          </w:tcPr>
          <w:p w14:paraId="4D8E7A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本文采用方式</w:t>
            </w:r>
          </w:p>
        </w:tc>
      </w:tr>
      <w:tr w14:paraId="59E0A784">
        <w:trPr>
          <w:jc w:val="center"/>
        </w:trPr>
        <w:tc>
          <w:tcPr>
            <w:tcW w:w="2268" w:type="dxa"/>
            <w:vAlign w:val="center"/>
          </w:tcPr>
          <w:p w14:paraId="3088FB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DFT与TPI</w:t>
            </w:r>
          </w:p>
        </w:tc>
        <w:tc>
          <w:tcPr>
            <w:tcW w:w="2268" w:type="dxa"/>
            <w:vAlign w:val="center"/>
          </w:tcPr>
          <w:p w14:paraId="48C1BD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Khalil等</w:t>
            </w:r>
            <w:r>
              <w:rPr>
                <w:rFonts w:ascii="Times New Roman" w:hAnsi="Times New Roman" w:eastAsia="宋体"/>
                <w:b w:val="0"/>
                <w:color w:val="000000" w:themeColor="text1"/>
                <w:sz w:val="24"/>
                <w:vertAlign w:val="superscript"/>
                <w14:textFill>
                  <w14:solidFill>
                    <w14:schemeClr w14:val="tx1"/>
                  </w14:solidFill>
                </w14:textFill>
              </w:rPr>
              <w:t>[1]</w:t>
            </w:r>
            <w:r>
              <w:rPr>
                <w:rFonts w:ascii="Times New Roman" w:hAnsi="Times New Roman" w:eastAsia="宋体"/>
                <w:b w:val="0"/>
                <w:color w:val="000000" w:themeColor="text1"/>
                <w:sz w:val="24"/>
                <w14:textFill>
                  <w14:solidFill>
                    <w14:schemeClr w14:val="tx1"/>
                  </w14:solidFill>
                </w14:textFill>
              </w:rPr>
              <w:t>、Yang等</w:t>
            </w:r>
            <w:r>
              <w:rPr>
                <w:rFonts w:ascii="Times New Roman" w:hAnsi="Times New Roman" w:eastAsia="宋体"/>
                <w:b w:val="0"/>
                <w:color w:val="000000" w:themeColor="text1"/>
                <w:sz w:val="24"/>
                <w:vertAlign w:val="superscript"/>
                <w14:textFill>
                  <w14:solidFill>
                    <w14:schemeClr w14:val="tx1"/>
                  </w14:solidFill>
                </w14:textFill>
              </w:rPr>
              <w:t>[3]</w:t>
            </w:r>
            <w:r>
              <w:rPr>
                <w:rFonts w:ascii="Times New Roman" w:hAnsi="Times New Roman" w:eastAsia="宋体"/>
                <w:b w:val="0"/>
                <w:color w:val="000000" w:themeColor="text1"/>
                <w:sz w:val="24"/>
                <w14:textFill>
                  <w14:solidFill>
                    <w14:schemeClr w14:val="tx1"/>
                  </w14:solidFill>
                </w14:textFill>
              </w:rPr>
              <w:t>、Shi等</w:t>
            </w:r>
            <w:r>
              <w:rPr>
                <w:rFonts w:ascii="Times New Roman" w:hAnsi="Times New Roman" w:eastAsia="宋体"/>
                <w:b w:val="0"/>
                <w:color w:val="000000" w:themeColor="text1"/>
                <w:sz w:val="24"/>
                <w:vertAlign w:val="superscript"/>
                <w14:textFill>
                  <w14:solidFill>
                    <w14:schemeClr w14:val="tx1"/>
                  </w14:solidFill>
                </w14:textFill>
              </w:rPr>
              <w:t>[2]</w:t>
            </w:r>
          </w:p>
        </w:tc>
        <w:tc>
          <w:tcPr>
            <w:tcW w:w="2268" w:type="dxa"/>
            <w:vAlign w:val="center"/>
          </w:tcPr>
          <w:p w14:paraId="49E2A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测试点插入、控制/观察点、图强化学习选择策略</w:t>
            </w:r>
          </w:p>
        </w:tc>
        <w:tc>
          <w:tcPr>
            <w:tcW w:w="2268" w:type="dxa"/>
            <w:vAlign w:val="center"/>
          </w:tcPr>
          <w:p w14:paraId="4A97F40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把“节点级TPI”转化为“几何候选点选择”，以覆盖率和可达性作为首要指标</w:t>
            </w:r>
          </w:p>
        </w:tc>
      </w:tr>
      <w:tr w14:paraId="37A5080D">
        <w:trPr>
          <w:jc w:val="center"/>
        </w:trPr>
        <w:tc>
          <w:tcPr>
            <w:tcW w:w="2268" w:type="dxa"/>
            <w:vAlign w:val="center"/>
          </w:tcPr>
          <w:p w14:paraId="1C23CB2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经典PCB布线</w:t>
            </w:r>
          </w:p>
        </w:tc>
        <w:tc>
          <w:tcPr>
            <w:tcW w:w="2268" w:type="dxa"/>
            <w:vAlign w:val="center"/>
          </w:tcPr>
          <w:p w14:paraId="0BB225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Lee</w:t>
            </w:r>
            <w:r>
              <w:rPr>
                <w:rFonts w:ascii="Times New Roman" w:hAnsi="Times New Roman" w:eastAsia="宋体"/>
                <w:b w:val="0"/>
                <w:color w:val="000000" w:themeColor="text1"/>
                <w:sz w:val="24"/>
                <w:vertAlign w:val="superscript"/>
                <w14:textFill>
                  <w14:solidFill>
                    <w14:schemeClr w14:val="tx1"/>
                  </w14:solidFill>
                </w14:textFill>
              </w:rPr>
              <w:t>[8]</w:t>
            </w:r>
            <w:r>
              <w:rPr>
                <w:rFonts w:ascii="Times New Roman" w:hAnsi="Times New Roman" w:eastAsia="宋体"/>
                <w:b w:val="0"/>
                <w:color w:val="000000" w:themeColor="text1"/>
                <w:sz w:val="24"/>
                <w14:textFill>
                  <w14:solidFill>
                    <w14:schemeClr w14:val="tx1"/>
                  </w14:solidFill>
                </w14:textFill>
              </w:rPr>
              <w:t>、Hightower</w:t>
            </w:r>
            <w:r>
              <w:rPr>
                <w:rFonts w:ascii="Times New Roman" w:hAnsi="Times New Roman" w:eastAsia="宋体"/>
                <w:b w:val="0"/>
                <w:color w:val="000000" w:themeColor="text1"/>
                <w:sz w:val="24"/>
                <w:vertAlign w:val="superscript"/>
                <w14:textFill>
                  <w14:solidFill>
                    <w14:schemeClr w14:val="tx1"/>
                  </w14:solidFill>
                </w14:textFill>
              </w:rPr>
              <w:t>[9]</w:t>
            </w:r>
            <w:r>
              <w:rPr>
                <w:rFonts w:ascii="Times New Roman" w:hAnsi="Times New Roman" w:eastAsia="宋体"/>
                <w:b w:val="0"/>
                <w:color w:val="000000" w:themeColor="text1"/>
                <w:sz w:val="24"/>
                <w14:textFill>
                  <w14:solidFill>
                    <w14:schemeClr w14:val="tx1"/>
                  </w14:solidFill>
                </w14:textFill>
              </w:rPr>
              <w:t>、Soukup</w:t>
            </w:r>
            <w:r>
              <w:rPr>
                <w:rFonts w:ascii="Times New Roman" w:hAnsi="Times New Roman" w:eastAsia="宋体"/>
                <w:b w:val="0"/>
                <w:color w:val="000000" w:themeColor="text1"/>
                <w:sz w:val="24"/>
                <w:vertAlign w:val="superscript"/>
                <w14:textFill>
                  <w14:solidFill>
                    <w14:schemeClr w14:val="tx1"/>
                  </w14:solidFill>
                </w14:textFill>
              </w:rPr>
              <w:t>[10]</w:t>
            </w:r>
            <w:r>
              <w:rPr>
                <w:rFonts w:ascii="Times New Roman" w:hAnsi="Times New Roman" w:eastAsia="宋体"/>
                <w:b w:val="0"/>
                <w:color w:val="000000" w:themeColor="text1"/>
                <w:sz w:val="24"/>
                <w14:textFill>
                  <w14:solidFill>
                    <w14:schemeClr w14:val="tx1"/>
                  </w14:solidFill>
                </w14:textFill>
              </w:rPr>
              <w:t>、Hadlock</w:t>
            </w:r>
            <w:r>
              <w:rPr>
                <w:rFonts w:ascii="Times New Roman" w:hAnsi="Times New Roman" w:eastAsia="宋体"/>
                <w:b w:val="0"/>
                <w:color w:val="000000" w:themeColor="text1"/>
                <w:sz w:val="24"/>
                <w:vertAlign w:val="superscript"/>
                <w14:textFill>
                  <w14:solidFill>
                    <w14:schemeClr w14:val="tx1"/>
                  </w14:solidFill>
                </w14:textFill>
              </w:rPr>
              <w:t>[11]</w:t>
            </w:r>
            <w:r>
              <w:rPr>
                <w:rFonts w:ascii="Times New Roman" w:hAnsi="Times New Roman" w:eastAsia="宋体"/>
                <w:b w:val="0"/>
                <w:color w:val="000000" w:themeColor="text1"/>
                <w:sz w:val="24"/>
                <w14:textFill>
                  <w14:solidFill>
                    <w14:schemeClr w14:val="tx1"/>
                  </w14:solidFill>
                </w14:textFill>
              </w:rPr>
              <w:t>、Yan和Wong</w:t>
            </w:r>
            <w:r>
              <w:rPr>
                <w:rFonts w:ascii="Times New Roman" w:hAnsi="Times New Roman" w:eastAsia="宋体"/>
                <w:b w:val="0"/>
                <w:color w:val="000000" w:themeColor="text1"/>
                <w:sz w:val="24"/>
                <w:vertAlign w:val="superscript"/>
                <w14:textFill>
                  <w14:solidFill>
                    <w14:schemeClr w14:val="tx1"/>
                  </w14:solidFill>
                </w14:textFill>
              </w:rPr>
              <w:t>[4]</w:t>
            </w:r>
          </w:p>
        </w:tc>
        <w:tc>
          <w:tcPr>
            <w:tcW w:w="2268" w:type="dxa"/>
            <w:vAlign w:val="center"/>
          </w:tcPr>
          <w:p w14:paraId="231A22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网格搜索、逃逸布线、启发式最短路径、综述框架</w:t>
            </w:r>
          </w:p>
        </w:tc>
        <w:tc>
          <w:tcPr>
            <w:tcW w:w="2268" w:type="dxa"/>
            <w:vAlign w:val="center"/>
          </w:tcPr>
          <w:p w14:paraId="6AB757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采用A*网格布线作为细节路径搜索核心，并设置障碍避让和线长指标</w:t>
            </w:r>
          </w:p>
        </w:tc>
      </w:tr>
      <w:tr w14:paraId="7A267144">
        <w:trPr>
          <w:jc w:val="center"/>
        </w:trPr>
        <w:tc>
          <w:tcPr>
            <w:tcW w:w="2268" w:type="dxa"/>
            <w:vAlign w:val="center"/>
          </w:tcPr>
          <w:p w14:paraId="63131D2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合法化与约束处理</w:t>
            </w:r>
          </w:p>
        </w:tc>
        <w:tc>
          <w:tcPr>
            <w:tcW w:w="2268" w:type="dxa"/>
            <w:vAlign w:val="center"/>
          </w:tcPr>
          <w:p w14:paraId="152940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Chen等</w:t>
            </w:r>
            <w:r>
              <w:rPr>
                <w:rFonts w:ascii="Times New Roman" w:hAnsi="Times New Roman" w:eastAsia="宋体"/>
                <w:b w:val="0"/>
                <w:color w:val="000000" w:themeColor="text1"/>
                <w:sz w:val="24"/>
                <w:vertAlign w:val="superscript"/>
                <w14:textFill>
                  <w14:solidFill>
                    <w14:schemeClr w14:val="tx1"/>
                  </w14:solidFill>
                </w14:textFill>
              </w:rPr>
              <w:t>[5]</w:t>
            </w:r>
            <w:r>
              <w:rPr>
                <w:rFonts w:ascii="Times New Roman" w:hAnsi="Times New Roman" w:eastAsia="宋体"/>
                <w:b w:val="0"/>
                <w:color w:val="000000" w:themeColor="text1"/>
                <w:sz w:val="24"/>
                <w14:textFill>
                  <w14:solidFill>
                    <w14:schemeClr w14:val="tx1"/>
                  </w14:solidFill>
                </w14:textFill>
              </w:rPr>
              <w:t>、IPC-2221B</w:t>
            </w:r>
            <w:r>
              <w:rPr>
                <w:rFonts w:ascii="Times New Roman" w:hAnsi="Times New Roman" w:eastAsia="宋体"/>
                <w:b w:val="0"/>
                <w:color w:val="000000" w:themeColor="text1"/>
                <w:sz w:val="24"/>
                <w:vertAlign w:val="superscript"/>
                <w14:textFill>
                  <w14:solidFill>
                    <w14:schemeClr w14:val="tx1"/>
                  </w14:solidFill>
                </w14:textFill>
              </w:rPr>
              <w:t>[13]</w:t>
            </w:r>
            <w:r>
              <w:rPr>
                <w:rFonts w:ascii="Times New Roman" w:hAnsi="Times New Roman" w:eastAsia="宋体"/>
                <w:b w:val="0"/>
                <w:color w:val="000000" w:themeColor="text1"/>
                <w:sz w:val="24"/>
                <w14:textFill>
                  <w14:solidFill>
                    <w14:schemeClr w14:val="tx1"/>
                  </w14:solidFill>
                </w14:textFill>
              </w:rPr>
              <w:t>、IPC-A-600</w:t>
            </w:r>
            <w:r>
              <w:rPr>
                <w:rFonts w:ascii="Times New Roman" w:hAnsi="Times New Roman" w:eastAsia="宋体"/>
                <w:b w:val="0"/>
                <w:color w:val="000000" w:themeColor="text1"/>
                <w:sz w:val="24"/>
                <w:vertAlign w:val="superscript"/>
                <w14:textFill>
                  <w14:solidFill>
                    <w14:schemeClr w14:val="tx1"/>
                  </w14:solidFill>
                </w14:textFill>
              </w:rPr>
              <w:t>[14]</w:t>
            </w:r>
          </w:p>
        </w:tc>
        <w:tc>
          <w:tcPr>
            <w:tcW w:w="2268" w:type="dxa"/>
            <w:vAlign w:val="center"/>
          </w:tcPr>
          <w:p w14:paraId="3114B9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线性规划合法化、设计规则、制造验收约束</w:t>
            </w:r>
          </w:p>
        </w:tc>
        <w:tc>
          <w:tcPr>
            <w:tcW w:w="2268" w:type="dxa"/>
            <w:vAlign w:val="center"/>
          </w:tcPr>
          <w:p w14:paraId="58C70D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区分硬约束、半硬约束和软目标，形成规则库与违规统计</w:t>
            </w:r>
          </w:p>
        </w:tc>
      </w:tr>
      <w:tr w14:paraId="1D99BFCA">
        <w:trPr>
          <w:jc w:val="center"/>
        </w:trPr>
        <w:tc>
          <w:tcPr>
            <w:tcW w:w="2268" w:type="dxa"/>
            <w:vAlign w:val="center"/>
          </w:tcPr>
          <w:p w14:paraId="2DE1E7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网络流与拥塞建模</w:t>
            </w:r>
          </w:p>
        </w:tc>
        <w:tc>
          <w:tcPr>
            <w:tcW w:w="2268" w:type="dxa"/>
            <w:vAlign w:val="center"/>
          </w:tcPr>
          <w:p w14:paraId="2B7E9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胡木森</w:t>
            </w:r>
            <w:r>
              <w:rPr>
                <w:rFonts w:ascii="Times New Roman" w:hAnsi="Times New Roman" w:eastAsia="宋体"/>
                <w:b w:val="0"/>
                <w:color w:val="000000" w:themeColor="text1"/>
                <w:sz w:val="24"/>
                <w:vertAlign w:val="superscript"/>
                <w14:textFill>
                  <w14:solidFill>
                    <w14:schemeClr w14:val="tx1"/>
                  </w14:solidFill>
                </w14:textFill>
              </w:rPr>
              <w:t>[17]</w:t>
            </w:r>
          </w:p>
        </w:tc>
        <w:tc>
          <w:tcPr>
            <w:tcW w:w="2268" w:type="dxa"/>
            <w:vAlign w:val="center"/>
          </w:tcPr>
          <w:p w14:paraId="479164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Tile/区域容量、流分配、预布线拥塞更新</w:t>
            </w:r>
          </w:p>
        </w:tc>
        <w:tc>
          <w:tcPr>
            <w:tcW w:w="2268" w:type="dxa"/>
            <w:vAlign w:val="center"/>
          </w:tcPr>
          <w:p w14:paraId="14A447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建立Tile容量解释层和拥塞矩阵，用动态代价指导重布线</w:t>
            </w:r>
          </w:p>
        </w:tc>
      </w:tr>
      <w:tr w14:paraId="34942D8B">
        <w:trPr>
          <w:jc w:val="center"/>
        </w:trPr>
        <w:tc>
          <w:tcPr>
            <w:tcW w:w="2268" w:type="dxa"/>
            <w:vAlign w:val="center"/>
          </w:tcPr>
          <w:p w14:paraId="48D30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智能优化与拆线重布</w:t>
            </w:r>
          </w:p>
        </w:tc>
        <w:tc>
          <w:tcPr>
            <w:tcW w:w="2268" w:type="dxa"/>
            <w:vAlign w:val="center"/>
          </w:tcPr>
          <w:p w14:paraId="766D5A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刘自铭</w:t>
            </w:r>
            <w:r>
              <w:rPr>
                <w:rFonts w:ascii="Times New Roman" w:hAnsi="Times New Roman" w:eastAsia="宋体"/>
                <w:b w:val="0"/>
                <w:color w:val="000000" w:themeColor="text1"/>
                <w:sz w:val="24"/>
                <w:vertAlign w:val="superscript"/>
                <w14:textFill>
                  <w14:solidFill>
                    <w14:schemeClr w14:val="tx1"/>
                  </w14:solidFill>
                </w14:textFill>
              </w:rPr>
              <w:t>[18]</w:t>
            </w:r>
            <w:r>
              <w:rPr>
                <w:rFonts w:ascii="Times New Roman" w:hAnsi="Times New Roman" w:eastAsia="宋体"/>
                <w:b w:val="0"/>
                <w:color w:val="000000" w:themeColor="text1"/>
                <w:sz w:val="24"/>
                <w14:textFill>
                  <w14:solidFill>
                    <w14:schemeClr w14:val="tx1"/>
                  </w14:solidFill>
                </w14:textFill>
              </w:rPr>
              <w:t>、王磊</w:t>
            </w:r>
            <w:r>
              <w:rPr>
                <w:rFonts w:ascii="Times New Roman" w:hAnsi="Times New Roman" w:eastAsia="宋体"/>
                <w:b w:val="0"/>
                <w:color w:val="000000" w:themeColor="text1"/>
                <w:sz w:val="24"/>
                <w:vertAlign w:val="superscript"/>
                <w14:textFill>
                  <w14:solidFill>
                    <w14:schemeClr w14:val="tx1"/>
                  </w14:solidFill>
                </w14:textFill>
              </w:rPr>
              <w:t>[16]</w:t>
            </w:r>
          </w:p>
        </w:tc>
        <w:tc>
          <w:tcPr>
            <w:tcW w:w="2268" w:type="dxa"/>
            <w:vAlign w:val="center"/>
          </w:tcPr>
          <w:p w14:paraId="14915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蚁群信息素、多轮次布线、阻塞度拆线重布</w:t>
            </w:r>
          </w:p>
        </w:tc>
        <w:tc>
          <w:tcPr>
            <w:tcW w:w="2268" w:type="dxa"/>
            <w:vAlign w:val="center"/>
          </w:tcPr>
          <w:p w14:paraId="07AD20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把网格占用次数类比为信息素浓度，对热点区域提高通过代价</w:t>
            </w:r>
          </w:p>
        </w:tc>
      </w:tr>
      <w:tr w14:paraId="0C6A3C90">
        <w:trPr>
          <w:jc w:val="center"/>
        </w:trPr>
        <w:tc>
          <w:tcPr>
            <w:tcW w:w="2268" w:type="dxa"/>
            <w:vAlign w:val="center"/>
          </w:tcPr>
          <w:p w14:paraId="2E5F9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领域模型与学习型布线</w:t>
            </w:r>
          </w:p>
        </w:tc>
        <w:tc>
          <w:tcPr>
            <w:tcW w:w="2268" w:type="dxa"/>
            <w:vAlign w:val="center"/>
          </w:tcPr>
          <w:p w14:paraId="05E4E3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郑杰</w:t>
            </w:r>
            <w:r>
              <w:rPr>
                <w:rFonts w:ascii="Times New Roman" w:hAnsi="Times New Roman" w:eastAsia="宋体"/>
                <w:b w:val="0"/>
                <w:color w:val="000000" w:themeColor="text1"/>
                <w:sz w:val="24"/>
                <w:vertAlign w:val="superscript"/>
                <w14:textFill>
                  <w14:solidFill>
                    <w14:schemeClr w14:val="tx1"/>
                  </w14:solidFill>
                </w14:textFill>
              </w:rPr>
              <w:t>[19]</w:t>
            </w:r>
            <w:r>
              <w:rPr>
                <w:rFonts w:ascii="Times New Roman" w:hAnsi="Times New Roman" w:eastAsia="宋体"/>
                <w:b w:val="0"/>
                <w:color w:val="000000" w:themeColor="text1"/>
                <w:sz w:val="24"/>
                <w14:textFill>
                  <w14:solidFill>
                    <w14:schemeClr w14:val="tx1"/>
                  </w14:solidFill>
                </w14:textFill>
              </w:rPr>
              <w:t>、白胜泷</w:t>
            </w:r>
            <w:r>
              <w:rPr>
                <w:rFonts w:ascii="Times New Roman" w:hAnsi="Times New Roman" w:eastAsia="宋体"/>
                <w:b w:val="0"/>
                <w:color w:val="000000" w:themeColor="text1"/>
                <w:sz w:val="24"/>
                <w:vertAlign w:val="superscript"/>
                <w14:textFill>
                  <w14:solidFill>
                    <w14:schemeClr w14:val="tx1"/>
                  </w14:solidFill>
                </w14:textFill>
              </w:rPr>
              <w:t>[20]</w:t>
            </w:r>
            <w:r>
              <w:rPr>
                <w:rFonts w:ascii="Times New Roman" w:hAnsi="Times New Roman" w:eastAsia="宋体"/>
                <w:b w:val="0"/>
                <w:color w:val="000000" w:themeColor="text1"/>
                <w:sz w:val="24"/>
                <w14:textFill>
                  <w14:solidFill>
                    <w14:schemeClr w14:val="tx1"/>
                  </w14:solidFill>
                </w14:textFill>
              </w:rPr>
              <w:t>、Zhao等</w:t>
            </w:r>
            <w:r>
              <w:rPr>
                <w:rFonts w:ascii="Times New Roman" w:hAnsi="Times New Roman" w:eastAsia="宋体"/>
                <w:b w:val="0"/>
                <w:color w:val="000000" w:themeColor="text1"/>
                <w:sz w:val="24"/>
                <w:vertAlign w:val="superscript"/>
                <w14:textFill>
                  <w14:solidFill>
                    <w14:schemeClr w14:val="tx1"/>
                  </w14:solidFill>
                </w14:textFill>
              </w:rPr>
              <w:t>[6]</w:t>
            </w:r>
            <w:r>
              <w:rPr>
                <w:rFonts w:ascii="Times New Roman" w:hAnsi="Times New Roman" w:eastAsia="宋体"/>
                <w:b w:val="0"/>
                <w:color w:val="000000" w:themeColor="text1"/>
                <w:sz w:val="24"/>
                <w14:textFill>
                  <w14:solidFill>
                    <w14:schemeClr w14:val="tx1"/>
                  </w14:solidFill>
                </w14:textFill>
              </w:rPr>
              <w:t>、Martins</w:t>
            </w:r>
            <w:r>
              <w:rPr>
                <w:rFonts w:ascii="Times New Roman" w:hAnsi="Times New Roman" w:eastAsia="宋体"/>
                <w:b w:val="0"/>
                <w:color w:val="000000" w:themeColor="text1"/>
                <w:sz w:val="24"/>
                <w:vertAlign w:val="superscript"/>
                <w14:textFill>
                  <w14:solidFill>
                    <w14:schemeClr w14:val="tx1"/>
                  </w14:solidFill>
                </w14:textFill>
              </w:rPr>
              <w:t>[7]</w:t>
            </w:r>
          </w:p>
        </w:tc>
        <w:tc>
          <w:tcPr>
            <w:tcW w:w="2268" w:type="dxa"/>
            <w:vAlign w:val="center"/>
          </w:tcPr>
          <w:p w14:paraId="241E23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语义编码、Transformer-A*融合、神经网络辅助布局布线</w:t>
            </w:r>
          </w:p>
        </w:tc>
        <w:tc>
          <w:tcPr>
            <w:tcW w:w="2268" w:type="dxa"/>
            <w:vAlign w:val="center"/>
          </w:tcPr>
          <w:p w14:paraId="108B364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当前不训练模型，但保留分区、语义指标和后续学习接口</w:t>
            </w:r>
          </w:p>
        </w:tc>
      </w:tr>
      <w:tr w14:paraId="1163DDD1">
        <w:trPr>
          <w:jc w:val="center"/>
        </w:trPr>
        <w:tc>
          <w:tcPr>
            <w:tcW w:w="2268" w:type="dxa"/>
            <w:vAlign w:val="center"/>
          </w:tcPr>
          <w:p w14:paraId="2AAD52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金手指与DFT工程文档</w:t>
            </w:r>
          </w:p>
        </w:tc>
        <w:tc>
          <w:tcPr>
            <w:tcW w:w="2268" w:type="dxa"/>
            <w:vAlign w:val="center"/>
          </w:tcPr>
          <w:p w14:paraId="4A5468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PCBCart</w:t>
            </w:r>
            <w:r>
              <w:rPr>
                <w:rFonts w:ascii="Times New Roman" w:hAnsi="Times New Roman" w:eastAsia="宋体"/>
                <w:b w:val="0"/>
                <w:color w:val="000000" w:themeColor="text1"/>
                <w:sz w:val="24"/>
                <w:vertAlign w:val="superscript"/>
                <w14:textFill>
                  <w14:solidFill>
                    <w14:schemeClr w14:val="tx1"/>
                  </w14:solidFill>
                </w14:textFill>
              </w:rPr>
              <w:t>[21]</w:t>
            </w:r>
            <w:r>
              <w:rPr>
                <w:rFonts w:ascii="Times New Roman" w:hAnsi="Times New Roman" w:eastAsia="宋体"/>
                <w:b w:val="0"/>
                <w:color w:val="000000" w:themeColor="text1"/>
                <w:sz w:val="24"/>
                <w14:textFill>
                  <w14:solidFill>
                    <w14:schemeClr w14:val="tx1"/>
                  </w14:solidFill>
                </w14:textFill>
              </w:rPr>
              <w:t>、WellPCB</w:t>
            </w:r>
            <w:r>
              <w:rPr>
                <w:rFonts w:ascii="Times New Roman" w:hAnsi="Times New Roman" w:eastAsia="宋体"/>
                <w:b w:val="0"/>
                <w:color w:val="000000" w:themeColor="text1"/>
                <w:sz w:val="24"/>
                <w:vertAlign w:val="superscript"/>
                <w14:textFill>
                  <w14:solidFill>
                    <w14:schemeClr w14:val="tx1"/>
                  </w14:solidFill>
                </w14:textFill>
              </w:rPr>
              <w:t>[22]</w:t>
            </w:r>
            <w:r>
              <w:rPr>
                <w:rFonts w:ascii="Times New Roman" w:hAnsi="Times New Roman" w:eastAsia="宋体"/>
                <w:b w:val="0"/>
                <w:color w:val="000000" w:themeColor="text1"/>
                <w:sz w:val="24"/>
                <w14:textFill>
                  <w14:solidFill>
                    <w14:schemeClr w14:val="tx1"/>
                  </w14:solidFill>
                </w14:textFill>
              </w:rPr>
              <w:t>、NexPCB</w:t>
            </w:r>
            <w:r>
              <w:rPr>
                <w:rFonts w:ascii="Times New Roman" w:hAnsi="Times New Roman" w:eastAsia="宋体"/>
                <w:b w:val="0"/>
                <w:color w:val="000000" w:themeColor="text1"/>
                <w:sz w:val="24"/>
                <w:vertAlign w:val="superscript"/>
                <w14:textFill>
                  <w14:solidFill>
                    <w14:schemeClr w14:val="tx1"/>
                  </w14:solidFill>
                </w14:textFill>
              </w:rPr>
              <w:t>[23]</w:t>
            </w:r>
          </w:p>
        </w:tc>
        <w:tc>
          <w:tcPr>
            <w:tcW w:w="2268" w:type="dxa"/>
            <w:vAlign w:val="center"/>
          </w:tcPr>
          <w:p w14:paraId="4F0F8C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金手指结构、硬金工艺、PCB可测性设计建议</w:t>
            </w:r>
          </w:p>
        </w:tc>
        <w:tc>
          <w:tcPr>
            <w:tcW w:w="2268" w:type="dxa"/>
            <w:vAlign w:val="center"/>
          </w:tcPr>
          <w:p w14:paraId="12A7EE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为测试点间距、边缘避让、障碍建模和工程适用性讨论提供参数依据</w:t>
            </w:r>
          </w:p>
        </w:tc>
      </w:tr>
    </w:tbl>
    <w:p w14:paraId="792676C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1-1 可见，本文的改进重点不在于简单增加参考文献数量，而在于将不同文献中的理论方法落实到论文结构、算法模块和实验指标中：DFT文献对应测试覆盖率，经典布线文献对应A*路径搜索，网络流文献对应容量与拥塞，蚁群文献对应信息素式动态代价，领域模型和Transformer文献对应分区、语义化和后续智能化扩展。上述对应关系使论文从“实现一个可运行程序”进一步提升为“具有明确文献来源和理论支撑的自动化设计方法”。</w:t>
      </w:r>
    </w:p>
    <w:p w14:paraId="7FEBFDB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1.3 研究内容与论文结构</w:t>
      </w:r>
    </w:p>
    <w:p w14:paraId="3921A62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围绕面向PCB金手指的测试尾板自动化设计展开，研究内容与毕业设计任务书的六项要求保持一致：完成文献调研和开题基础工作，建立金手指测试尾板案例与约束模型，设计布点布线算法，完成C++核心代码实现，开展规则基线与优化算法的量化对比，并在实验数据基础上完成毕业论文撰写。具体而言，本文首先梳理金手指测试尾板的结构、工艺和测试需求，建立布点布线设计规则库；随后提出测试点候选生成、初始布点、局部优化、A*布线和拥塞重布线的一体化流程；再基于C++17实现命令行算法原型，形成可复现实验数据和可视化结果；最后补充公开EDA文件解析流程，将KiCad、Gerber和Excellon/DRL文件中的端子与制造信息转化为算法输入，并通过公开EDA案例化验证扩展实验依据。论文第二章介绍理论基础和约束建模，第三章给出布点算法，第四章给出布线与协同优化方法，第五章说明系统实现与EDA解析流程，第六章分析参数化案例和公开EDA案例结果，第七章总结全文并展望后续工作。</w:t>
      </w:r>
    </w:p>
    <w:p w14:paraId="539F5370">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1.4 任务书要求与完成情况</w:t>
      </w:r>
    </w:p>
    <w:p>
      <w:pPr>
        <w:spacing w:lineRule="exact" w:line="400" w:after="120" w:before="0"/>
        <w:ind w:firstLine="420"/>
      </w:pPr>
      <w:r>
        <w:rPr>
          <w:b w:val="0"/>
          <w:sz w:val="24"/>
          <w:rFonts w:eastAsia="宋体" w:ascii="Times New Roman" w:hAnsi="Times New Roman"/>
        </w:rPr>
        <w:t>结合《武汉理工大学本科生毕业设计（论文）工作管理办法（试行）》中关于任务完成、数据处理、理论分析、程序资料和成果归档的要求，本文将论文正文、C++程序、案例数据、实验指标和可视化结果作为同一毕业设计成果链进行组织。论文正文负责说明理论依据、算法设计和实验结论，程序与CSV/SVG/PNG结果负责支撑可复现实验，公开KiCad案例用于补充参数化仿真的工程来源说明。</w:t>
      </w:r>
    </w:p>
    <w:p w14:paraId="552F687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为保证论文内容能够直接对应毕业设计主要任务和验收要求，本文将任务书要求归纳为六项，并在论文、代码和实验结果中逐项落实。需要说明的是，受企业原始PCB设计文件获取条件限制，第二项中的案例获取采用“真实应用场景参数化构造”的方式完成，即依据金手指数量、板边间距、测试点间距、尾板尺寸和障碍区等工程约束构造案例化仿真数据，论文中不将实验数据表述为企业量产板卡数据。</w:t>
      </w:r>
    </w:p>
    <w:p w14:paraId="24882D4C">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1-2 任务书要求与完成情况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3402"/>
        <w:gridCol w:w="2721"/>
      </w:tblGrid>
      <w:tr w14:paraId="621D8F2C">
        <w:trPr>
          <w:tblHeader/>
          <w:jc w:val="center"/>
        </w:trPr>
        <w:tc>
          <w:tcPr>
            <w:tcW w:w="680" w:type="dxa"/>
            <w:shd w:val="clear" w:color="auto" w:fill="EAF2F8"/>
            <w:vAlign w:val="center"/>
          </w:tcPr>
          <w:p w14:paraId="615537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序号</w:t>
            </w:r>
          </w:p>
        </w:tc>
        <w:tc>
          <w:tcPr>
            <w:tcW w:w="2381" w:type="dxa"/>
            <w:shd w:val="clear" w:color="auto" w:fill="EAF2F8"/>
            <w:vAlign w:val="center"/>
          </w:tcPr>
          <w:p w14:paraId="15DCB6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任务书主要要求</w:t>
            </w:r>
          </w:p>
        </w:tc>
        <w:tc>
          <w:tcPr>
            <w:tcW w:w="3402" w:type="dxa"/>
            <w:shd w:val="clear" w:color="auto" w:fill="EAF2F8"/>
            <w:vAlign w:val="center"/>
          </w:tcPr>
          <w:p w14:paraId="7BB515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本文完成方式</w:t>
            </w:r>
          </w:p>
        </w:tc>
        <w:tc>
          <w:tcPr>
            <w:tcW w:w="2721" w:type="dxa"/>
            <w:shd w:val="clear" w:color="auto" w:fill="EAF2F8"/>
            <w:vAlign w:val="center"/>
          </w:tcPr>
          <w:p w14:paraId="280EC7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对应成果</w:t>
            </w:r>
          </w:p>
        </w:tc>
      </w:tr>
      <w:tr w14:paraId="6BC4805F">
        <w:trPr>
          <w:jc w:val="center"/>
        </w:trPr>
        <w:tc>
          <w:tcPr>
            <w:tcW w:w="680" w:type="dxa"/>
            <w:vAlign w:val="center"/>
          </w:tcPr>
          <w:p w14:paraId="2761A7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2381" w:type="dxa"/>
            <w:vAlign w:val="center"/>
          </w:tcPr>
          <w:p w14:paraId="4389ED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查阅不少于15篇文献，其中近五年英文文献不少于3篇，完成开题基础工作</w:t>
            </w:r>
          </w:p>
        </w:tc>
        <w:tc>
          <w:tcPr>
            <w:tcW w:w="3402" w:type="dxa"/>
            <w:vAlign w:val="center"/>
          </w:tcPr>
          <w:p w14:paraId="34592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围绕DFT测试点插入、PCB自动布线、网络流、蚁群算法、领域模型和Transformer-A*布线整理国内外研究现状</w:t>
            </w:r>
          </w:p>
        </w:tc>
        <w:tc>
          <w:tcPr>
            <w:tcW w:w="2721" w:type="dxa"/>
            <w:vAlign w:val="center"/>
          </w:tcPr>
          <w:p w14:paraId="5380CD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参考文献23篇；近五年英文文献包括DeepTPI、NS-Place、Legalized Routing、Integration综述等</w:t>
            </w:r>
          </w:p>
        </w:tc>
      </w:tr>
      <w:tr w14:paraId="04AA8080">
        <w:trPr>
          <w:jc w:val="center"/>
        </w:trPr>
        <w:tc>
          <w:tcPr>
            <w:tcW w:w="680" w:type="dxa"/>
            <w:vAlign w:val="center"/>
          </w:tcPr>
          <w:p w14:paraId="188D1F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2381" w:type="dxa"/>
            <w:vAlign w:val="center"/>
          </w:tcPr>
          <w:p w14:paraId="632ADA6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获取真实应用场景下PCB金手指测试尾板设计案例，并确定布点布线约束</w:t>
            </w:r>
          </w:p>
        </w:tc>
        <w:tc>
          <w:tcPr>
            <w:tcW w:w="3402" w:type="dxa"/>
            <w:vAlign w:val="center"/>
          </w:tcPr>
          <w:p w14:paraId="7D5D37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在无企业原始文件条件下，构造40 pin、80 pin、120 pin、含障碍96 pin和面积受限100 pin五类案例，并给出尾板尺寸、间距、障碍和网格规则</w:t>
            </w:r>
          </w:p>
        </w:tc>
        <w:tc>
          <w:tcPr>
            <w:tcW w:w="2721" w:type="dxa"/>
            <w:vAlign w:val="center"/>
          </w:tcPr>
          <w:p w14:paraId="0BC359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data/case_01.csv至case_05.csv；第2章约束表；第6章案例表</w:t>
            </w:r>
          </w:p>
        </w:tc>
      </w:tr>
      <w:tr w14:paraId="62EF6EA4">
        <w:trPr>
          <w:jc w:val="center"/>
        </w:trPr>
        <w:tc>
          <w:tcPr>
            <w:tcW w:w="680" w:type="dxa"/>
            <w:vAlign w:val="center"/>
          </w:tcPr>
          <w:p w14:paraId="0BE71B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2381" w:type="dxa"/>
            <w:vAlign w:val="center"/>
          </w:tcPr>
          <w:p w14:paraId="1D5868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设计面向PCB金手指测试尾板的布点布线算法，给出算法框架和设计过程</w:t>
            </w:r>
          </w:p>
        </w:tc>
        <w:tc>
          <w:tcPr>
            <w:tcW w:w="3402" w:type="dxa"/>
            <w:vAlign w:val="center"/>
          </w:tcPr>
          <w:p w14:paraId="2FD358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形成规则网格候选生成、K-means初始分组、禁忌搜索、PSO-Hanan布点、A*布线和拥塞感知拆线重布流程</w:t>
            </w:r>
          </w:p>
        </w:tc>
        <w:tc>
          <w:tcPr>
            <w:tcW w:w="2721" w:type="dxa"/>
            <w:vAlign w:val="center"/>
          </w:tcPr>
          <w:p w14:paraId="290FCF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第3章布点算法；第4章布线算法；图3.1流程图</w:t>
            </w:r>
          </w:p>
        </w:tc>
      </w:tr>
      <w:tr w14:paraId="4756E2FA">
        <w:trPr>
          <w:jc w:val="center"/>
        </w:trPr>
        <w:tc>
          <w:tcPr>
            <w:tcW w:w="680" w:type="dxa"/>
            <w:vAlign w:val="center"/>
          </w:tcPr>
          <w:p w14:paraId="11D581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2381" w:type="dxa"/>
            <w:vAlign w:val="center"/>
          </w:tcPr>
          <w:p w14:paraId="432DE1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基于C++实现算法核心代码，确保代码可运行且注释清晰</w:t>
            </w:r>
          </w:p>
        </w:tc>
        <w:tc>
          <w:tcPr>
            <w:tcW w:w="3402" w:type="dxa"/>
            <w:vAlign w:val="center"/>
          </w:tcPr>
          <w:p w14:paraId="3096945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采用C++17命令行原型实现案例解析、布点、布线、指标统计和SVG输出，同时提供CMakeLists.txt与Makefile</w:t>
            </w:r>
          </w:p>
        </w:tc>
        <w:tc>
          <w:tcPr>
            <w:tcW w:w="2721" w:type="dxa"/>
            <w:vAlign w:val="center"/>
          </w:tcPr>
          <w:p w14:paraId="4A8DA2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include/pcb_tail_router.hpp；src/main.cpp；README.md；make run-all验证</w:t>
            </w:r>
          </w:p>
        </w:tc>
      </w:tr>
      <w:tr w14:paraId="6CCC56B4">
        <w:trPr>
          <w:jc w:val="center"/>
        </w:trPr>
        <w:tc>
          <w:tcPr>
            <w:tcW w:w="680" w:type="dxa"/>
            <w:vAlign w:val="center"/>
          </w:tcPr>
          <w:p w14:paraId="043D8D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2381" w:type="dxa"/>
            <w:vAlign w:val="center"/>
          </w:tcPr>
          <w:p w14:paraId="700818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开展对比实验，与人工布点布线在面积、布通率、合法性等指标上量化对比</w:t>
            </w:r>
          </w:p>
        </w:tc>
        <w:tc>
          <w:tcPr>
            <w:tcW w:w="3402" w:type="dxa"/>
            <w:vAlign w:val="center"/>
          </w:tcPr>
          <w:p w14:paraId="4EB27A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以规则行列式方案近似人工经验基线，并与K-means、PSO-Hanan、拥塞重布线三类优化方案对比</w:t>
            </w:r>
          </w:p>
        </w:tc>
        <w:tc>
          <w:tcPr>
            <w:tcW w:w="2721" w:type="dxa"/>
            <w:vAlign w:val="center"/>
          </w:tcPr>
          <w:p w14:paraId="64372E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results/case_*/metrics.csv；第6章指标表和三张对比图</w:t>
            </w:r>
          </w:p>
        </w:tc>
      </w:tr>
      <w:tr w14:paraId="0CAF7FC2">
        <w:trPr>
          <w:jc w:val="center"/>
        </w:trPr>
        <w:tc>
          <w:tcPr>
            <w:tcW w:w="680" w:type="dxa"/>
            <w:vAlign w:val="center"/>
          </w:tcPr>
          <w:p w14:paraId="685B4B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2381" w:type="dxa"/>
            <w:vAlign w:val="center"/>
          </w:tcPr>
          <w:p w14:paraId="6DFAE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分析实验数据并完成不少于1.2万字毕业论文</w:t>
            </w:r>
          </w:p>
        </w:tc>
        <w:tc>
          <w:tcPr>
            <w:tcW w:w="3402" w:type="dxa"/>
            <w:vAlign w:val="center"/>
          </w:tcPr>
          <w:p w14:paraId="579B31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根据最新程序输出重建论文数据表、图表和结论，围绕布通率、面积、线长、拥塞和违规数进行分析</w:t>
            </w:r>
          </w:p>
        </w:tc>
        <w:tc>
          <w:tcPr>
            <w:tcW w:w="2721" w:type="dxa"/>
            <w:vAlign w:val="center"/>
          </w:tcPr>
          <w:p w14:paraId="2B20471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完成稿正文超过1.2万字；参考文献格式统一；DOCX渲染检查通过</w:t>
            </w:r>
          </w:p>
        </w:tc>
      </w:tr>
    </w:tbl>
    <w:p w14:paraId="421AE64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1.5 本文创新点</w:t>
      </w:r>
    </w:p>
    <w:p w14:paraId="627557F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一，在问题建模方面，本文将金手指测试尾板从普通PCB布线问题中独立抽象出来，将线性密集金手指、可接触测试点、尾板边界、障碍区和线宽线距统一到候选点集合、网格图和Tile容量三个层次中描述，使布点约束与布线约束能够共用同一规则库。</w:t>
      </w:r>
    </w:p>
    <w:p w14:paraId="1D0EA16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二，在算法流程方面，本文形成“布点先验生成—布线可达性反馈—拥塞重布线修正”的闭环，而非先布点再孤立布线。通过面积代价、路径长度代价和拥塞代价之间的权衡，算法输出不仅能够实现布通，还能够解释部分点位向尾板纵深或横向空闲区域展开的原因。</w:t>
      </w:r>
    </w:p>
    <w:p w14:paraId="1155402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第三，在实验评价方面，本文不仅给出单一布通率，还同步统计尾板面积占比、总线长、拥塞峰值、拥挤网格数量和违规数，并设置低密度、中密度、高密度、含障碍和面积受限五类案例，使结果更接近工程设计中对面积、效率和合法性的综合权衡。</w:t>
      </w:r>
    </w:p>
    <w:p w14:paraId="30E0501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2 相关理论与约束建模</w:t>
      </w:r>
    </w:p>
    <w:p w14:paraId="7F01EE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2.1 PCB金手指与测试尾板结构</w:t>
      </w:r>
    </w:p>
    <w:p w14:paraId="5405CA95">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CB金手指通常分布在板边，端子形状为长条状镀金焊盘，按固定间距排列并与外部插槽接触。根据应用场景不同，金手指可能承载电源、地、高速差分信号、普通数字信号或控制信号。测试尾板设计需要将这些端子引出到便于探针接触的位置，同时尽量不改变被测板主体电气特性。尾板一般位于金手指外侧或延伸区域，其尺寸受夹具空间、加工板材和后续分板要求约束，不能无限扩展。</w:t>
      </w:r>
    </w:p>
    <w:p w14:paraId="3BE48B1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可采用通孔测试点、表面贴装测试点或专用测试焊盘。对于飞针测试和在线测试，测试点直径、相邻点中心距、边缘避让距离和探针接触角度都会影响测试稳定性。阶段性报告中已把IPC-2221B、IPC-A-600以及金手指制造资料作为规则来源，因此本文在模型中将测试点最小间距、边缘余量和障碍避让作为基础硬约束</w:t>
      </w:r>
      <w:r>
        <w:rPr>
          <w:rFonts w:ascii="Times New Roman" w:hAnsi="Times New Roman" w:eastAsia="宋体"/>
          <w:b w:val="0"/>
          <w:color w:val="000000" w:themeColor="text1"/>
          <w:sz w:val="24"/>
          <w:vertAlign w:val="superscript"/>
          <w14:textFill>
            <w14:solidFill>
              <w14:schemeClr w14:val="tx1"/>
            </w14:solidFill>
          </w14:textFill>
        </w:rPr>
        <w:t>[13-14][21-23]</w:t>
      </w:r>
      <w:r>
        <w:rPr>
          <w:rFonts w:ascii="Times New Roman" w:hAnsi="Times New Roman" w:eastAsia="宋体"/>
          <w:b w:val="0"/>
          <w:color w:val="000000" w:themeColor="text1"/>
          <w:sz w:val="24"/>
          <w14:textFill>
            <w14:solidFill>
              <w14:schemeClr w14:val="tx1"/>
            </w14:solidFill>
          </w14:textFill>
        </w:rPr>
        <w:t>。本文将测试点抽象为圆形接触区域，将金手指端子抽象为位于尾板上边界的一组起点，将尾板可用区域抽象为二维矩形，并用障碍矩形描述不可布点和不可走线区域。该抽象虽然简化了真实PCB中的焊盘形状、过孔和多层叠构，但足以支持算法原型验证和论文实验分析。</w:t>
      </w:r>
    </w:p>
    <w:p w14:paraId="15B938D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2-1 金手指测试尾板主要设计约束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01"/>
        <w:gridCol w:w="2381"/>
        <w:gridCol w:w="3061"/>
      </w:tblGrid>
      <w:tr w14:paraId="3719FD9F">
        <w:trPr>
          <w:tblHeader/>
          <w:jc w:val="center"/>
        </w:trPr>
        <w:tc>
          <w:tcPr>
            <w:tcW w:w="1474" w:type="dxa"/>
            <w:shd w:val="clear" w:color="auto" w:fill="EAF2F8"/>
            <w:vAlign w:val="center"/>
          </w:tcPr>
          <w:p w14:paraId="0E9C773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约束类别</w:t>
            </w:r>
          </w:p>
        </w:tc>
        <w:tc>
          <w:tcPr>
            <w:tcW w:w="1701" w:type="dxa"/>
            <w:shd w:val="clear" w:color="auto" w:fill="EAF2F8"/>
            <w:vAlign w:val="center"/>
          </w:tcPr>
          <w:p w14:paraId="7A4A92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参数</w:t>
            </w:r>
          </w:p>
        </w:tc>
        <w:tc>
          <w:tcPr>
            <w:tcW w:w="2381" w:type="dxa"/>
            <w:shd w:val="clear" w:color="auto" w:fill="EAF2F8"/>
            <w:vAlign w:val="center"/>
          </w:tcPr>
          <w:p w14:paraId="288E13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本文取值/处理方式</w:t>
            </w:r>
          </w:p>
        </w:tc>
        <w:tc>
          <w:tcPr>
            <w:tcW w:w="3061" w:type="dxa"/>
            <w:shd w:val="clear" w:color="auto" w:fill="EAF2F8"/>
            <w:vAlign w:val="center"/>
          </w:tcPr>
          <w:p w14:paraId="5593137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4B3C745E">
        <w:trPr>
          <w:jc w:val="center"/>
        </w:trPr>
        <w:tc>
          <w:tcPr>
            <w:tcW w:w="1474" w:type="dxa"/>
            <w:vAlign w:val="center"/>
          </w:tcPr>
          <w:p w14:paraId="65C5DE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几何约束</w:t>
            </w:r>
          </w:p>
        </w:tc>
        <w:tc>
          <w:tcPr>
            <w:tcW w:w="1701" w:type="dxa"/>
            <w:vAlign w:val="center"/>
          </w:tcPr>
          <w:p w14:paraId="32D14E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尾板宽度与高度</w:t>
            </w:r>
          </w:p>
        </w:tc>
        <w:tc>
          <w:tcPr>
            <w:tcW w:w="2381" w:type="dxa"/>
            <w:vAlign w:val="center"/>
          </w:tcPr>
          <w:p w14:paraId="3004E6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由案例CSV给定</w:t>
            </w:r>
          </w:p>
        </w:tc>
        <w:tc>
          <w:tcPr>
            <w:tcW w:w="3061" w:type="dxa"/>
            <w:vAlign w:val="center"/>
          </w:tcPr>
          <w:p w14:paraId="05689B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反映不同金手指密度和面积限制</w:t>
            </w:r>
          </w:p>
        </w:tc>
      </w:tr>
      <w:tr w14:paraId="3BDF09D9">
        <w:trPr>
          <w:jc w:val="center"/>
        </w:trPr>
        <w:tc>
          <w:tcPr>
            <w:tcW w:w="1474" w:type="dxa"/>
            <w:vAlign w:val="center"/>
          </w:tcPr>
          <w:p w14:paraId="2A1201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布点约束</w:t>
            </w:r>
          </w:p>
        </w:tc>
        <w:tc>
          <w:tcPr>
            <w:tcW w:w="1701" w:type="dxa"/>
            <w:vAlign w:val="center"/>
          </w:tcPr>
          <w:p w14:paraId="22FAED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w:t>
            </w:r>
          </w:p>
        </w:tc>
        <w:tc>
          <w:tcPr>
            <w:tcW w:w="2381" w:type="dxa"/>
            <w:vAlign w:val="center"/>
          </w:tcPr>
          <w:p w14:paraId="3368D3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1.8-2.0 mm</w:t>
            </w:r>
          </w:p>
        </w:tc>
        <w:tc>
          <w:tcPr>
            <w:tcW w:w="3061" w:type="dxa"/>
            <w:vAlign w:val="center"/>
          </w:tcPr>
          <w:p w14:paraId="71BD3D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保证探针接触和工艺可制造性</w:t>
            </w:r>
          </w:p>
        </w:tc>
      </w:tr>
      <w:tr w14:paraId="1AB01938">
        <w:trPr>
          <w:jc w:val="center"/>
        </w:trPr>
        <w:tc>
          <w:tcPr>
            <w:tcW w:w="1474" w:type="dxa"/>
            <w:vAlign w:val="center"/>
          </w:tcPr>
          <w:p w14:paraId="6EC279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布线约束</w:t>
            </w:r>
          </w:p>
        </w:tc>
        <w:tc>
          <w:tcPr>
            <w:tcW w:w="1701" w:type="dxa"/>
            <w:vAlign w:val="center"/>
          </w:tcPr>
          <w:p w14:paraId="65C7A1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w:t>
            </w:r>
          </w:p>
        </w:tc>
        <w:tc>
          <w:tcPr>
            <w:tcW w:w="2381" w:type="dxa"/>
            <w:vAlign w:val="center"/>
          </w:tcPr>
          <w:p w14:paraId="3484A9F1">
            <w:pPr>
              <w:spacing w:before="0" w:after="120" w:line="32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 mm</w:t>
            </w:r>
          </w:p>
        </w:tc>
        <w:tc>
          <w:tcPr>
            <w:tcW w:w="3061" w:type="dxa"/>
            <w:vAlign w:val="center"/>
          </w:tcPr>
          <w:p w14:paraId="1CB8E7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用于A*搜索和可视化输出</w:t>
            </w:r>
          </w:p>
        </w:tc>
      </w:tr>
      <w:tr w14:paraId="36B94172">
        <w:trPr>
          <w:jc w:val="center"/>
        </w:trPr>
        <w:tc>
          <w:tcPr>
            <w:tcW w:w="1474" w:type="dxa"/>
            <w:vAlign w:val="center"/>
          </w:tcPr>
          <w:p w14:paraId="108A61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障碍约束</w:t>
            </w:r>
          </w:p>
        </w:tc>
        <w:tc>
          <w:tcPr>
            <w:tcW w:w="1701" w:type="dxa"/>
            <w:vAlign w:val="center"/>
          </w:tcPr>
          <w:p w14:paraId="703523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禁布/禁走区域</w:t>
            </w:r>
          </w:p>
        </w:tc>
        <w:tc>
          <w:tcPr>
            <w:tcW w:w="2381" w:type="dxa"/>
            <w:vAlign w:val="center"/>
          </w:tcPr>
          <w:p w14:paraId="02B3D77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矩形集合</w:t>
            </w:r>
          </w:p>
        </w:tc>
        <w:tc>
          <w:tcPr>
            <w:tcW w:w="3061" w:type="dxa"/>
            <w:vAlign w:val="center"/>
          </w:tcPr>
          <w:p w14:paraId="40814D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模拟固定孔位、夹具避让和器件占位</w:t>
            </w:r>
          </w:p>
        </w:tc>
      </w:tr>
      <w:tr w14:paraId="5C4B4488">
        <w:trPr>
          <w:jc w:val="center"/>
        </w:trPr>
        <w:tc>
          <w:tcPr>
            <w:tcW w:w="1474" w:type="dxa"/>
            <w:vAlign w:val="center"/>
          </w:tcPr>
          <w:p w14:paraId="2F3BFA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合法性约束</w:t>
            </w:r>
          </w:p>
        </w:tc>
        <w:tc>
          <w:tcPr>
            <w:tcW w:w="1701" w:type="dxa"/>
            <w:vAlign w:val="center"/>
          </w:tcPr>
          <w:p w14:paraId="224ED5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违规统计</w:t>
            </w:r>
          </w:p>
        </w:tc>
        <w:tc>
          <w:tcPr>
            <w:tcW w:w="2381" w:type="dxa"/>
            <w:vAlign w:val="center"/>
          </w:tcPr>
          <w:p w14:paraId="2CE712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未布点、未布通、点间距不足</w:t>
            </w:r>
          </w:p>
        </w:tc>
        <w:tc>
          <w:tcPr>
            <w:tcW w:w="3061" w:type="dxa"/>
            <w:vAlign w:val="center"/>
          </w:tcPr>
          <w:p w14:paraId="2FE52FC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用于对比算法质量</w:t>
            </w:r>
          </w:p>
        </w:tc>
      </w:tr>
    </w:tbl>
    <w:p w14:paraId="2C6369BB">
      <w:pPr>
        <w:spacing w:lineRule="exact" w:line="400" w:before="0" w:after="120"/>
        <w:rPr>
          <w:color w:val="000000" w:themeColor="text1"/>
          <w14:textFill>
            <w14:solidFill>
              <w14:schemeClr w14:val="tx1"/>
            </w14:solidFill>
          </w14:textFill>
        </w:rPr>
      </w:pPr>
    </w:p>
    <w:p w14:paraId="736C991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2.2 布点布线数学模型</w:t>
      </w:r>
    </w:p>
    <w:p>
      <w:pPr>
        <w:spacing w:lineRule="exact" w:line="400" w:after="120" w:before="0"/>
        <w:ind w:firstLine="420"/>
      </w:pPr>
      <w:r>
        <w:rPr>
          <w:b w:val="0"/>
          <w:sz w:val="24"/>
          <w:rFonts w:eastAsia="宋体" w:ascii="Times New Roman" w:hAnsi="Times New Roman"/>
        </w:rPr>
        <w:t>为满足毕业设计管理办法中关于理论分析与计算正确性的要求，本文进一步把布点布线问题写成可复核的数学模型。金手指端子、候选测试点和布点决策变量定义如下：</w:t>
      </w:r>
    </w:p>
    <w:p>
      <w:pPr>
        <w:spacing w:lineRule="exact" w:line="400" w:after="120" w:before="0"/>
        <w:ind/>
        <w:jc w:val="center"/>
      </w:pPr>
      <w:r>
        <w:rPr>
          <w:b w:val="0"/>
          <w:sz w:val="24"/>
          <w:rFonts w:eastAsia="宋体" w:ascii="Times New Roman" w:hAnsi="Times New Roman"/>
        </w:rPr>
        <w:t>式（2-1）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817494"/>
            <wp:docPr id="5" name="Picture 5"/>
            <wp:cNvGraphicFramePr>
              <a:graphicFrameLocks noChangeAspect="1"/>
            </wp:cNvGraphicFramePr>
            <a:graphic>
              <a:graphicData uri="http://schemas.openxmlformats.org/drawingml/2006/picture">
                <pic:pic>
                  <pic:nvPicPr>
                    <pic:cNvPr id="0" name="eq_2-1.png"/>
                    <pic:cNvPicPr/>
                  </pic:nvPicPr>
                  <pic:blipFill>
                    <a:blip r:embed="rId16"/>
                    <a:stretch>
                      <a:fillRect/>
                    </a:stretch>
                  </pic:blipFill>
                  <pic:spPr>
                    <a:xfrm>
                      <a:off x="0" y="0"/>
                      <a:ext cx="4500000" cy="817494"/>
                    </a:xfrm>
                    <a:prstGeom prst="rect"/>
                  </pic:spPr>
                </pic:pic>
              </a:graphicData>
            </a:graphic>
          </wp:inline>
        </w:drawing>
      </w:r>
    </w:p>
    <w:p>
      <w:pPr>
        <w:spacing w:lineRule="exact" w:line="400" w:after="120" w:before="0"/>
        <w:ind/>
        <w:jc w:val="center"/>
      </w:pPr>
      <w:r>
        <w:rPr>
          <w:b w:val="0"/>
          <w:sz w:val="24"/>
          <w:rFonts w:eastAsia="宋体" w:ascii="Times New Roman" w:hAnsi="Times New Roman"/>
        </w:rPr>
        <w:t>式（2-2）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594612"/>
            <wp:docPr id="6" name="Picture 6"/>
            <wp:cNvGraphicFramePr>
              <a:graphicFrameLocks noChangeAspect="1"/>
            </wp:cNvGraphicFramePr>
            <a:graphic>
              <a:graphicData uri="http://schemas.openxmlformats.org/drawingml/2006/picture">
                <pic:pic>
                  <pic:nvPicPr>
                    <pic:cNvPr id="0" name="eq_2-2.png"/>
                    <pic:cNvPicPr/>
                  </pic:nvPicPr>
                  <pic:blipFill>
                    <a:blip r:embed="rId17"/>
                    <a:stretch>
                      <a:fillRect/>
                    </a:stretch>
                  </pic:blipFill>
                  <pic:spPr>
                    <a:xfrm>
                      <a:off x="0" y="0"/>
                      <a:ext cx="4500000" cy="594612"/>
                    </a:xfrm>
                    <a:prstGeom prst="rect"/>
                  </pic:spPr>
                </pic:pic>
              </a:graphicData>
            </a:graphic>
          </wp:inline>
        </w:drawing>
      </w:r>
    </w:p>
    <w:p>
      <w:pPr>
        <w:spacing w:lineRule="exact" w:line="400" w:after="120" w:before="0"/>
        <w:ind/>
        <w:jc w:val="center"/>
      </w:pPr>
      <w:r>
        <w:rPr>
          <w:b w:val="0"/>
          <w:sz w:val="24"/>
          <w:rFonts w:eastAsia="宋体" w:ascii="Times New Roman" w:hAnsi="Times New Roman"/>
        </w:rPr>
        <w:t>式（2-3）</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628000"/>
            <wp:docPr id="7" name="Picture 7"/>
            <wp:cNvGraphicFramePr>
              <a:graphicFrameLocks noChangeAspect="1"/>
            </wp:cNvGraphicFramePr>
            <a:graphic>
              <a:graphicData uri="http://schemas.openxmlformats.org/drawingml/2006/picture">
                <pic:pic>
                  <pic:nvPicPr>
                    <pic:cNvPr id="0" name="eq_2-3.png"/>
                    <pic:cNvPicPr/>
                  </pic:nvPicPr>
                  <pic:blipFill>
                    <a:blip r:embed="rId18"/>
                    <a:stretch>
                      <a:fillRect/>
                    </a:stretch>
                  </pic:blipFill>
                  <pic:spPr>
                    <a:xfrm>
                      <a:off x="0" y="0"/>
                      <a:ext cx="4500000" cy="628000"/>
                    </a:xfrm>
                    <a:prstGeom prst="rect"/>
                  </pic:spPr>
                </pic:pic>
              </a:graphicData>
            </a:graphic>
          </wp:inline>
        </w:drawing>
      </w:r>
    </w:p>
    <w:p>
      <w:pPr>
        <w:spacing w:lineRule="exact" w:line="400" w:after="120" w:before="0"/>
        <w:ind/>
        <w:jc w:val="center"/>
      </w:pPr>
      <w:r>
        <w:rPr>
          <w:b w:val="0"/>
          <w:sz w:val="24"/>
          <w:rFonts w:eastAsia="宋体" w:ascii="Times New Roman" w:hAnsi="Times New Roman"/>
        </w:rPr>
        <w:t>式（2-4）</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729640"/>
            <wp:docPr id="8" name="Picture 8"/>
            <wp:cNvGraphicFramePr>
              <a:graphicFrameLocks noChangeAspect="1"/>
            </wp:cNvGraphicFramePr>
            <a:graphic>
              <a:graphicData uri="http://schemas.openxmlformats.org/drawingml/2006/picture">
                <pic:pic>
                  <pic:nvPicPr>
                    <pic:cNvPr id="0" name="eq_2-4.png"/>
                    <pic:cNvPicPr/>
                  </pic:nvPicPr>
                  <pic:blipFill>
                    <a:blip r:embed="rId19"/>
                    <a:stretch>
                      <a:fillRect/>
                    </a:stretch>
                  </pic:blipFill>
                  <pic:spPr>
                    <a:xfrm>
                      <a:off x="0" y="0"/>
                      <a:ext cx="4500000" cy="729640"/>
                    </a:xfrm>
                    <a:prstGeom prst="rect"/>
                  </pic:spPr>
                </pic:pic>
              </a:graphicData>
            </a:graphic>
          </wp:inline>
        </w:drawing>
      </w:r>
    </w:p>
    <w:p>
      <w:pPr>
        <w:spacing w:lineRule="exact" w:line="400" w:after="120" w:before="0"/>
        <w:ind w:firstLine="420"/>
      </w:pPr>
      <w:r>
        <w:rPr>
          <w:b w:val="0"/>
          <w:sz w:val="24"/>
          <w:rFonts w:eastAsia="宋体" w:ascii="Times New Roman" w:hAnsi="Times New Roman"/>
        </w:rPr>
        <w:t>其中，Omega表示障碍区及其安全外扩区域，s_min表示测试点最小中心距，cap(e)表示网格边或Tile通道容量，n_e表示当前占用该通道的网络数量。上述公式将覆盖率、布通率、面积占比和合法性违规数统一到同一评价体系中，便于后续实验直接对应。</w:t>
      </w:r>
    </w:p>
    <w:p w14:paraId="462DD33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设金手指端子集合为P={p1,p2,...,pn}，测试点候选集合为C={c1,c2,...,cm}。布点任务是在候选集合中为每个端子选择一个测试点，使得测试点不落入障碍区，任意两个测试点之间满足最小间距要求，并尽可能降低尾板占用面积、端子到测试点的距离以及局部拥挤程度。若用xi表示第i个端子选择的候选点，则布点目标可写为Jp=wdD+waA+wcC+wpP，其中D为端子到测试点的距离或预估路径长度，A为测试点包围盒面积占比，C为候选点所在Tile的拥塞预测值，P为规则违规惩罚。由于候选点数量和端子数量均随案例规模增加，该问题属于典型的离散组合优化问题。</w:t>
      </w:r>
    </w:p>
    <w:p w14:paraId="5A789D2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任务是在网格图G=(V,E)上寻找每个端子到对应测试点的路径。节点V表示可走线网格点，边E表示相邻网格点之间的水平或垂直连线。障碍区域中的节点被删除，边界外节点不可访问。借鉴网络流和合法化布线文献，本文把每条网格边或Tile边看作具有有限容量的通道，容量由可用宽度、线宽、线距和已占用数量共同决定；当通道占用接近容量时，后续路径的通过代价随之增加。对于多层尾板，可以通过过孔或层间分配缓解交叉冲突；本文原型采用两层可合法化口径，障碍为硬约束，不同网络之间允许在后续层分配中处理交叉，算法重点验证测试点位置、障碍绕行和路径可达性。</w:t>
      </w:r>
    </w:p>
    <w:p w14:paraId="7272996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综合布点与布线后，评价函数由测试覆盖率、布通率、尾板面积占比、总线长、违规数和运行时间组成。测试覆盖率衡量已放置测试点的端子比例，布通率衡量成功生成路径的网络比例，面积占比衡量测试点包围盒相对于尾板面积的比例，总线长反映布线路径经济性，违规数用于记录未布点、未布通或点间距不足等问题。该评价体系既对应毕业设计任务书中的量化目标，也便于与人工或规则基线方案进行对比。</w:t>
      </w:r>
    </w:p>
    <w:p w14:paraId="010C369A">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2.3 基于Tile和网络流思想的尾板等效建模</w:t>
      </w:r>
    </w:p>
    <w:p w14:paraId="79D24F7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使布线约束具有更明确的理论来源，本文在原网格模型之外补充Tile等效建模。具体做法是将尾板可用区域按照障碍边界、金手指投影范围和测试点候选带划分为若干矩形或近似矩形的子区域，每个子区域作为图中的节点，相邻子区域之间的公共边作为图中的边。边的容量由可用宽度、线宽线距和已占用路径数量共同决定，容量越小表示该通道越容易成为拥塞热点。</w:t>
      </w:r>
    </w:p>
    <w:p w14:paraId="039AF4B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该建模并不要求在本科原型中完整求解最大流或最小费用最大流，而是把网络流的“容量—需求—拥塞”思想转化为路径搜索的代价项。对于金手指测试尾板，端子通常集中在板边，测试点分布在尾板内部，实际布线类似从密集边缘向内部测试区域的逃逸过程。因此，本文将金手指边缘附近的Tile视为高需求区域，将障碍区附近或可用宽度较窄的Tile视为低容量区域，并在A*搜索和拥塞重布线时对其赋予更高代价。</w:t>
      </w:r>
    </w:p>
    <w:p w14:paraId="0EB062E1">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与单纯网格化相比，Tile模型的作用在于从宏观层面判断“哪些区域适合集中走线、哪些区域应提前避让”；与完整网络流算法相比，本文实现更加轻量，能够直接服务于C++命令行原型。该处理既保留了网络流建模的理论解释力，也避免在毕业设计阶段引入过重的优化求解器。</w:t>
      </w:r>
    </w:p>
    <w:p w14:paraId="4713149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2.4 约束优先级与合法性判定</w:t>
      </w:r>
    </w:p>
    <w:p w14:paraId="4224FB9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2-2 约束优先级与算法处理方式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358"/>
      </w:tblGrid>
      <w:tr w14:paraId="7498D076">
        <w:trPr>
          <w:tblHeader/>
          <w:jc w:val="center"/>
        </w:trPr>
        <w:tc>
          <w:tcPr>
            <w:tcW w:w="2268" w:type="dxa"/>
            <w:vAlign w:val="center"/>
          </w:tcPr>
          <w:p w14:paraId="33D3D4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约束层级</w:t>
            </w:r>
          </w:p>
        </w:tc>
        <w:tc>
          <w:tcPr>
            <w:tcW w:w="2268" w:type="dxa"/>
            <w:vAlign w:val="center"/>
          </w:tcPr>
          <w:p w14:paraId="52028C7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约束内容</w:t>
            </w:r>
          </w:p>
        </w:tc>
        <w:tc>
          <w:tcPr>
            <w:tcW w:w="2268" w:type="dxa"/>
            <w:vAlign w:val="center"/>
          </w:tcPr>
          <w:p w14:paraId="0DF4A2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处理方式</w:t>
            </w:r>
          </w:p>
        </w:tc>
        <w:tc>
          <w:tcPr>
            <w:tcW w:w="2268" w:type="dxa"/>
            <w:vAlign w:val="center"/>
          </w:tcPr>
          <w:p w14:paraId="4E2757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在算法中的体现</w:t>
            </w:r>
          </w:p>
        </w:tc>
      </w:tr>
      <w:tr w14:paraId="1AF3383C">
        <w:trPr>
          <w:jc w:val="center"/>
        </w:trPr>
        <w:tc>
          <w:tcPr>
            <w:tcW w:w="2268" w:type="dxa"/>
            <w:vAlign w:val="center"/>
          </w:tcPr>
          <w:p w14:paraId="754840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w:t>
            </w:r>
          </w:p>
        </w:tc>
        <w:tc>
          <w:tcPr>
            <w:tcW w:w="2268" w:type="dxa"/>
            <w:vAlign w:val="center"/>
          </w:tcPr>
          <w:p w14:paraId="21307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尾板边界、障碍区、测试点最小间距</w:t>
            </w:r>
          </w:p>
        </w:tc>
        <w:tc>
          <w:tcPr>
            <w:tcW w:w="2268" w:type="dxa"/>
            <w:vAlign w:val="center"/>
          </w:tcPr>
          <w:p w14:paraId="33AF25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不满足则直接剔除或判为违规</w:t>
            </w:r>
          </w:p>
        </w:tc>
        <w:tc>
          <w:tcPr>
            <w:tcW w:w="2268" w:type="dxa"/>
            <w:vAlign w:val="center"/>
          </w:tcPr>
          <w:p w14:paraId="73923D8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候选点过滤、A*不可访问节点、违规统计</w:t>
            </w:r>
          </w:p>
        </w:tc>
      </w:tr>
      <w:tr w14:paraId="5BBC7079">
        <w:trPr>
          <w:jc w:val="center"/>
        </w:trPr>
        <w:tc>
          <w:tcPr>
            <w:tcW w:w="2268" w:type="dxa"/>
            <w:vAlign w:val="center"/>
          </w:tcPr>
          <w:p w14:paraId="257ED0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半硬约束</w:t>
            </w:r>
          </w:p>
        </w:tc>
        <w:tc>
          <w:tcPr>
            <w:tcW w:w="2268" w:type="dxa"/>
            <w:vAlign w:val="center"/>
          </w:tcPr>
          <w:p w14:paraId="28B84BE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布通率、端子覆盖率、路径可达性</w:t>
            </w:r>
          </w:p>
        </w:tc>
        <w:tc>
          <w:tcPr>
            <w:tcW w:w="2268" w:type="dxa"/>
            <w:vAlign w:val="center"/>
          </w:tcPr>
          <w:p w14:paraId="6C3F4D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优先保证，失败时触发重选点或重布线</w:t>
            </w:r>
          </w:p>
        </w:tc>
        <w:tc>
          <w:tcPr>
            <w:tcW w:w="2268" w:type="dxa"/>
            <w:vAlign w:val="center"/>
          </w:tcPr>
          <w:p w14:paraId="4087C03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route_all与route_all_congestion_aware</w:t>
            </w:r>
          </w:p>
        </w:tc>
      </w:tr>
      <w:tr w14:paraId="46861014">
        <w:trPr>
          <w:jc w:val="center"/>
        </w:trPr>
        <w:tc>
          <w:tcPr>
            <w:tcW w:w="2268" w:type="dxa"/>
            <w:vAlign w:val="center"/>
          </w:tcPr>
          <w:p w14:paraId="111D5C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软目标</w:t>
            </w:r>
          </w:p>
        </w:tc>
        <w:tc>
          <w:tcPr>
            <w:tcW w:w="2268" w:type="dxa"/>
            <w:vAlign w:val="center"/>
          </w:tcPr>
          <w:p w14:paraId="27F2CB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面积占比、总线长、拥塞峰值、拥挤网格数量</w:t>
            </w:r>
          </w:p>
        </w:tc>
        <w:tc>
          <w:tcPr>
            <w:tcW w:w="2268" w:type="dxa"/>
            <w:vAlign w:val="center"/>
          </w:tcPr>
          <w:p w14:paraId="0BE01C4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通过加权代价优化，不作为绝对淘汰条件</w:t>
            </w:r>
          </w:p>
        </w:tc>
        <w:tc>
          <w:tcPr>
            <w:tcW w:w="2268" w:type="dxa"/>
            <w:vAlign w:val="center"/>
          </w:tcPr>
          <w:p w14:paraId="460F52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PSO-Hanan目标函数、动态拥塞代价</w:t>
            </w:r>
          </w:p>
        </w:tc>
      </w:tr>
      <w:tr w14:paraId="0A0F349B">
        <w:trPr>
          <w:jc w:val="center"/>
        </w:trPr>
        <w:tc>
          <w:tcPr>
            <w:tcW w:w="2268" w:type="dxa"/>
            <w:vAlign w:val="center"/>
          </w:tcPr>
          <w:p w14:paraId="544D51C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工程扩展约束</w:t>
            </w:r>
          </w:p>
        </w:tc>
        <w:tc>
          <w:tcPr>
            <w:tcW w:w="2268" w:type="dxa"/>
            <w:vAlign w:val="center"/>
          </w:tcPr>
          <w:p w14:paraId="48BC37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过孔数量、层分配、差分等长、阻抗控制</w:t>
            </w:r>
          </w:p>
        </w:tc>
        <w:tc>
          <w:tcPr>
            <w:tcW w:w="2268" w:type="dxa"/>
            <w:vAlign w:val="center"/>
          </w:tcPr>
          <w:p w14:paraId="6F41C8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本文作为展望保留接口</w:t>
            </w:r>
          </w:p>
        </w:tc>
        <w:tc>
          <w:tcPr>
            <w:tcW w:w="2268" w:type="dxa"/>
            <w:vAlign w:val="center"/>
          </w:tcPr>
          <w:p w14:paraId="5D5464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后续多层合法化模块</w:t>
            </w:r>
          </w:p>
        </w:tc>
      </w:tr>
    </w:tbl>
    <w:p w14:paraId="5FADF39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将约束划分为硬约束、半硬约束和软目标后，论文中的算法逻辑更加清晰：候选点生成阶段首先消除硬约束冲突，布点优化阶段在覆盖率和可达性不下降的前提下压缩面积，布线阶段再根据拥塞信息进行路径修正。这种写法能够避免“所有指标同等重要”带来的理论模糊，也便于在实验章节解释为什么拥塞重布线会允许线长小幅增加。</w:t>
      </w:r>
    </w:p>
    <w:p w14:paraId="5D21B0CF">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2.5 文献理论到本文模型的转化</w:t>
      </w:r>
    </w:p>
    <w:p w14:paraId="60AA305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根据开题报告和阶段性报告，本文原计划同时考虑K-means聚类、禁忌搜索、改进Lee算法、线性规划合法化和可视化展示。结合当前代码实现情况与相关文献，论文将上述技术路线重新整理为“可实现优先、理论可追溯、扩展接口清晰”的模型体系：当前实现部分包括候选点生成、布点优化、A*布线、拥塞统计和SVG/CSV输出；暂未完整实现的Gurobi线性规划、Qt交互界面和深度学习训练模块，均作为后续扩展接口保留。该处理能够避免将未完成模块表述为既有成果，同时体现开题报告中多类理论方法对本文方案设计的支撑作用。</w:t>
      </w:r>
    </w:p>
    <w:p w14:paraId="0236A882">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具体转化上，网络流文献中的容量思想被转化为Tile拥塞值；蚁群算法中的信息素更新被转化为网格占用次数及其动态惩罚；领域模型中的布线语义被转化为“区域—方向—通道容量”的解释框架；线性规划合法化文献中的约束处理被转化为硬约束、半硬约束和软目标三层规则；DeepTPI、NS-Place、DREAMPlace以及机器学习综述文献则用于说明未来可把候选点选择和线序决策进一步建模为图学习或强化学习问题</w:t>
      </w:r>
      <w:r>
        <w:rPr>
          <w:rFonts w:ascii="Times New Roman" w:hAnsi="Times New Roman" w:eastAsia="宋体"/>
          <w:b w:val="0"/>
          <w:color w:val="000000" w:themeColor="text1"/>
          <w:sz w:val="24"/>
          <w:vertAlign w:val="superscript"/>
          <w14:textFill>
            <w14:solidFill>
              <w14:schemeClr w14:val="tx1"/>
            </w14:solidFill>
          </w14:textFill>
        </w:rPr>
        <w:t>[2][6-7][12]</w:t>
      </w:r>
      <w:r>
        <w:rPr>
          <w:rFonts w:ascii="Times New Roman" w:hAnsi="Times New Roman" w:eastAsia="宋体"/>
          <w:b w:val="0"/>
          <w:color w:val="000000" w:themeColor="text1"/>
          <w:sz w:val="24"/>
          <w14:textFill>
            <w14:solidFill>
              <w14:schemeClr w14:val="tx1"/>
            </w14:solidFill>
          </w14:textFill>
        </w:rPr>
        <w:t>。</w:t>
      </w:r>
    </w:p>
    <w:p w14:paraId="49E2359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2-3 文献方法到算法模块的转化关系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F520F4E">
        <w:trPr>
          <w:tblHeader/>
          <w:jc w:val="center"/>
        </w:trPr>
        <w:tc>
          <w:tcPr>
            <w:tcW w:w="2268" w:type="dxa"/>
            <w:vAlign w:val="center"/>
          </w:tcPr>
          <w:p w14:paraId="56C0F61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文献方法</w:t>
            </w:r>
          </w:p>
        </w:tc>
        <w:tc>
          <w:tcPr>
            <w:tcW w:w="2268" w:type="dxa"/>
            <w:vAlign w:val="center"/>
          </w:tcPr>
          <w:p w14:paraId="5139A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原始应用对象</w:t>
            </w:r>
          </w:p>
        </w:tc>
        <w:tc>
          <w:tcPr>
            <w:tcW w:w="2268" w:type="dxa"/>
            <w:vAlign w:val="center"/>
          </w:tcPr>
          <w:p w14:paraId="7ED6E11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本文转化后的模块</w:t>
            </w:r>
          </w:p>
        </w:tc>
        <w:tc>
          <w:tcPr>
            <w:tcW w:w="2268" w:type="dxa"/>
            <w:vAlign w:val="center"/>
          </w:tcPr>
          <w:p w14:paraId="663056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转化原则</w:t>
            </w:r>
          </w:p>
        </w:tc>
      </w:tr>
      <w:tr w14:paraId="576032E9">
        <w:trPr>
          <w:jc w:val="center"/>
        </w:trPr>
        <w:tc>
          <w:tcPr>
            <w:tcW w:w="2268" w:type="dxa"/>
            <w:vAlign w:val="center"/>
          </w:tcPr>
          <w:p w14:paraId="5F0378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测试点插入TPI</w:t>
            </w:r>
          </w:p>
        </w:tc>
        <w:tc>
          <w:tcPr>
            <w:tcW w:w="2268" w:type="dxa"/>
            <w:vAlign w:val="center"/>
          </w:tcPr>
          <w:p w14:paraId="47C694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IC逻辑节点</w:t>
            </w:r>
          </w:p>
        </w:tc>
        <w:tc>
          <w:tcPr>
            <w:tcW w:w="2268" w:type="dxa"/>
            <w:vAlign w:val="center"/>
          </w:tcPr>
          <w:p w14:paraId="66B33C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金手指到测试点的候选点选择</w:t>
            </w:r>
          </w:p>
        </w:tc>
        <w:tc>
          <w:tcPr>
            <w:tcW w:w="2268" w:type="dxa"/>
            <w:vAlign w:val="center"/>
          </w:tcPr>
          <w:p w14:paraId="43580E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从逻辑可测性转为几何可接触性和覆盖率</w:t>
            </w:r>
          </w:p>
        </w:tc>
      </w:tr>
      <w:tr w14:paraId="54E5E88D">
        <w:trPr>
          <w:jc w:val="center"/>
        </w:trPr>
        <w:tc>
          <w:tcPr>
            <w:tcW w:w="2268" w:type="dxa"/>
            <w:vAlign w:val="center"/>
          </w:tcPr>
          <w:p w14:paraId="66A18C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网络流建模</w:t>
            </w:r>
          </w:p>
        </w:tc>
        <w:tc>
          <w:tcPr>
            <w:tcW w:w="2268" w:type="dxa"/>
            <w:vAlign w:val="center"/>
          </w:tcPr>
          <w:p w14:paraId="66911C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逃逸/通道布线容量规划</w:t>
            </w:r>
          </w:p>
        </w:tc>
        <w:tc>
          <w:tcPr>
            <w:tcW w:w="2268" w:type="dxa"/>
            <w:vAlign w:val="center"/>
          </w:tcPr>
          <w:p w14:paraId="062C1AE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Tile容量、拥塞矩阵和全局引导层</w:t>
            </w:r>
          </w:p>
        </w:tc>
        <w:tc>
          <w:tcPr>
            <w:tcW w:w="2268" w:type="dxa"/>
            <w:vAlign w:val="center"/>
          </w:tcPr>
          <w:p w14:paraId="231AC4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保留容量解释，不引入重型求解器</w:t>
            </w:r>
          </w:p>
        </w:tc>
      </w:tr>
      <w:tr w14:paraId="201D9313">
        <w:trPr>
          <w:jc w:val="center"/>
        </w:trPr>
        <w:tc>
          <w:tcPr>
            <w:tcW w:w="2268" w:type="dxa"/>
            <w:vAlign w:val="center"/>
          </w:tcPr>
          <w:p w14:paraId="68CC455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w:t>
            </w:r>
          </w:p>
        </w:tc>
        <w:tc>
          <w:tcPr>
            <w:tcW w:w="2268" w:type="dxa"/>
            <w:vAlign w:val="center"/>
          </w:tcPr>
          <w:p w14:paraId="3986D77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多层PCB路径搜索</w:t>
            </w:r>
          </w:p>
        </w:tc>
        <w:tc>
          <w:tcPr>
            <w:tcW w:w="2268" w:type="dxa"/>
            <w:vAlign w:val="center"/>
          </w:tcPr>
          <w:p w14:paraId="2CE282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动态拥塞代价和拆线重布队列</w:t>
            </w:r>
          </w:p>
        </w:tc>
        <w:tc>
          <w:tcPr>
            <w:tcW w:w="2268" w:type="dxa"/>
            <w:vAlign w:val="center"/>
          </w:tcPr>
          <w:p w14:paraId="0E1982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把随机搜索简化为确定性A*代价修正</w:t>
            </w:r>
          </w:p>
        </w:tc>
      </w:tr>
      <w:tr w14:paraId="6D59CC68">
        <w:trPr>
          <w:jc w:val="center"/>
        </w:trPr>
        <w:tc>
          <w:tcPr>
            <w:tcW w:w="2268" w:type="dxa"/>
            <w:vAlign w:val="center"/>
          </w:tcPr>
          <w:p w14:paraId="1207D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线性规划合法化</w:t>
            </w:r>
          </w:p>
        </w:tc>
        <w:tc>
          <w:tcPr>
            <w:tcW w:w="2268" w:type="dxa"/>
            <w:vAlign w:val="center"/>
          </w:tcPr>
          <w:p w14:paraId="21CC96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复杂设计规则修正</w:t>
            </w:r>
          </w:p>
        </w:tc>
        <w:tc>
          <w:tcPr>
            <w:tcW w:w="2268" w:type="dxa"/>
            <w:vAlign w:val="center"/>
          </w:tcPr>
          <w:p w14:paraId="1A7FDA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硬约束过滤与违规统计</w:t>
            </w:r>
          </w:p>
        </w:tc>
        <w:tc>
          <w:tcPr>
            <w:tcW w:w="2268" w:type="dxa"/>
            <w:vAlign w:val="center"/>
          </w:tcPr>
          <w:p w14:paraId="2A0635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当前不调用LP求解器，保留合法化接口</w:t>
            </w:r>
          </w:p>
        </w:tc>
      </w:tr>
      <w:tr w14:paraId="4D441180">
        <w:trPr>
          <w:jc w:val="center"/>
        </w:trPr>
        <w:tc>
          <w:tcPr>
            <w:tcW w:w="2268" w:type="dxa"/>
            <w:vAlign w:val="center"/>
          </w:tcPr>
          <w:p w14:paraId="50852B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领域模型/Transformer</w:t>
            </w:r>
          </w:p>
        </w:tc>
        <w:tc>
          <w:tcPr>
            <w:tcW w:w="2268" w:type="dxa"/>
            <w:vAlign w:val="center"/>
          </w:tcPr>
          <w:p w14:paraId="7C73EC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学习人工布线范式</w:t>
            </w:r>
          </w:p>
        </w:tc>
        <w:tc>
          <w:tcPr>
            <w:tcW w:w="2268" w:type="dxa"/>
            <w:vAlign w:val="center"/>
          </w:tcPr>
          <w:p w14:paraId="22AAF2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区域语义、线序排序和后续学习接口</w:t>
            </w:r>
          </w:p>
        </w:tc>
        <w:tc>
          <w:tcPr>
            <w:tcW w:w="2268" w:type="dxa"/>
            <w:vAlign w:val="center"/>
          </w:tcPr>
          <w:p w14:paraId="56ECEE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当前作为理论支撑与未来扩展</w:t>
            </w:r>
          </w:p>
        </w:tc>
      </w:tr>
    </w:tbl>
    <w:p w14:paraId="79B032F1">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3 测试点布点算法设计</w:t>
      </w:r>
    </w:p>
    <w:p w14:paraId="0491675E">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3.1 候选点生成</w:t>
      </w:r>
    </w:p>
    <w:p w14:paraId="7F1972F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候选点生成是布点算法的基础。本文根据尾板可用区域和网格步长生成规则网格点，随后删除落入障碍区域或距离障碍过近的点。规则网格的优点是实现简单、便于与制造规则对齐，也便于后续A*布线使用同一坐标系统。为避免测试点靠近板边导致探针接触不稳定，候选点生成时保留一定边界余量；为避免障碍边缘产生潜在工艺冲突，障碍矩形按照线距参数进行外扩后再进行过滤。</w:t>
      </w:r>
    </w:p>
    <w:p w14:paraId="5E06443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3.2 K-means初始分组</w:t>
      </w:r>
    </w:p>
    <w:p w14:paraId="0580093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呈线性排列，若直接逐点贪心选择最近候选点，容易在某些区域形成拥挤。本文借鉴K-means聚类思想，将金手指横向分布划分为若干簇，并为不同簇分配不同的目标纵向带。这样可以在保持端子到测试点距离较短的同时，使测试点沿尾板纵深方向展开，减少同一行测试点过密造成的间距冲突。由于端子坐标已经近似一维均匀分布，原型中采用基于横向位置的快速分组，不额外引入迭代聚类库，保证程序轻量可复现。</w:t>
      </w:r>
    </w:p>
    <w:p w14:paraId="7C397D6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3.3 禁忌搜索局部优化</w:t>
      </w:r>
    </w:p>
    <w:p w14:paraId="072303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初始布点完成后，算法采用轻量禁忌搜索进行局部优化。对每个测试点，在其邻域候选点中寻找能够降低端子距离和纵向代价的位置，同时检查与其他测试点的最小间距。被替换的位置在短期内加入禁忌表，以避免算法在相邻位置之间反复震荡。该策略并不追求严格全局最优，而是面向工程原型选择可解释、易实现且收敛较快的局部改良方式。实验表明，在五类案例中，该方法能够显著降低测试点包围盒面积，并保持100%布点覆盖。</w:t>
      </w:r>
    </w:p>
    <w:p w14:paraId="356FB162">
      <w:pPr>
        <w:spacing w:lineRule="exact" w:line="400"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2417445"/>
            <wp:effectExtent l="0" t="0" r="825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2418000"/>
                    </a:xfrm>
                    <a:prstGeom prst="rect">
                      <a:avLst/>
                    </a:prstGeom>
                  </pic:spPr>
                </pic:pic>
              </a:graphicData>
            </a:graphic>
          </wp:inline>
        </w:drawing>
      </w:r>
    </w:p>
    <w:p w14:paraId="0A7F5C6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3-1 布点布线协同优化流程</w:t>
      </w:r>
    </w:p>
    <w:p w14:paraId="37770F2E">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3.4 改进后的布点目标函数与步骤</w:t>
      </w:r>
    </w:p>
    <w:p>
      <w:pPr>
        <w:spacing w:lineRule="exact" w:line="400" w:after="120" w:before="0"/>
        <w:ind/>
        <w:jc w:val="center"/>
      </w:pPr>
      <w:r>
        <w:rPr>
          <w:b w:val="0"/>
          <w:sz w:val="24"/>
          <w:rFonts w:eastAsia="宋体" w:ascii="Times New Roman" w:hAnsi="Times New Roman"/>
        </w:rPr>
        <w:t>式（3-1）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32598"/>
            <wp:docPr id="9" name="Picture 9"/>
            <wp:cNvGraphicFramePr>
              <a:graphicFrameLocks noChangeAspect="1"/>
            </wp:cNvGraphicFramePr>
            <a:graphic>
              <a:graphicData uri="http://schemas.openxmlformats.org/drawingml/2006/picture">
                <pic:pic>
                  <pic:nvPicPr>
                    <pic:cNvPr id="0" name="eq_3-1.png"/>
                    <pic:cNvPicPr/>
                  </pic:nvPicPr>
                  <pic:blipFill>
                    <a:blip r:embed="rId20"/>
                    <a:stretch>
                      <a:fillRect/>
                    </a:stretch>
                  </pic:blipFill>
                  <pic:spPr>
                    <a:xfrm>
                      <a:off x="0" y="0"/>
                      <a:ext cx="3780000" cy="332598"/>
                    </a:xfrm>
                    <a:prstGeom prst="rect"/>
                  </pic:spPr>
                </pic:pic>
              </a:graphicData>
            </a:graphic>
          </wp:inline>
        </w:drawing>
      </w:r>
    </w:p>
    <w:p>
      <w:pPr>
        <w:spacing w:lineRule="exact" w:line="400" w:after="120" w:before="0"/>
        <w:ind w:firstLine="420"/>
      </w:pPr>
      <w:r>
        <w:rPr>
          <w:b w:val="0"/>
          <w:sz w:val="24"/>
          <w:rFonts w:eastAsia="宋体" w:ascii="Times New Roman" w:hAnsi="Times New Roman"/>
        </w:rPr>
        <w:t>式（3-1）中，D表示端子到测试点的预估路径长度，A表示测试点包围盒面积占比，C表示候选点所在Tile的拥塞预测，P表示点间距、障碍和边界违规惩罚。由于P的权重最高，算法首先保证合法性，再在可行解中优化面积和线长。</w:t>
      </w:r>
    </w:p>
    <w:p w14:paraId="556F74B8">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为体现布点阶段与布线阶段的耦合关系，本文将测试点选择的评价函数写成多目标加权形式：J = wd·D + wa·A + wc·C + wp·P。其中，D表示金手指到测试点的曼哈顿距离或预估布线路径长度，A表示测试点包围盒面积占比，C表示候选点所在Tile的拥塞预测值，P表示违反点间距、障碍避让和边界余量等规则的罚函数。wd、wa、wc和wp分别为距离、面积、拥塞和规则惩罚权重。</w:t>
      </w:r>
    </w:p>
    <w:p w14:paraId="3795713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在实际实现中，P属于高权重惩罚项，候选点一旦违反硬约束即被剔除；D和A用于保证点位紧凑，C用于避免过多测试点集中到同一纵向通道。由此，K-means分组不再只是简单的几何分组，而是为后续PSO-Hanan和A*布线提供初始空间分配；禁忌搜索也不再只移动单个测试点，而是在保持点间距合法的前提下寻找面积、线长和拥塞三者更平衡的位置。</w:t>
      </w:r>
    </w:p>
    <w:p w14:paraId="02DF628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布点步骤为：首先根据尾板边界、障碍外扩和网格步长生成候选点；其次按照金手指横向位置进行分组并设置不同纵向目标带；再次根据目标函数选取初始测试点；然后在邻域候选点中执行禁忌局部搜索；最后调用A*快速评估可达性，若某些点位导致路径不可达或拥塞过高，则返回候选集重新调整。该流程使布点算法从“只看点位合法”提升为“同时看点位、路径和通道容量”。</w:t>
      </w:r>
    </w:p>
    <w:p w14:paraId="028A24D0">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4 布线算法与协同优化</w:t>
      </w:r>
    </w:p>
    <w:p w14:paraId="181211D7">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4.1 A*网格布线</w:t>
      </w:r>
    </w:p>
    <w:p w14:paraId="22BDA6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A*算法是在Dijkstra最短路径算法基础上加入启发函数的图搜索算法。对于PCB尾板的网格布线，起点为金手指端子所在网格，终点为对应测试点网格，代价函数由已走路径长度和到目标点的曼哈顿距离估计组成。由于本文主要处理规则矩形区域和矩形障碍，曼哈顿距离能够较好地引导搜索方向，并明显减少无效扩展。算法搜索到终点后通过父节点表回溯路径，输出由网格点序列组成的布线路径。</w:t>
      </w:r>
    </w:p>
    <w:p w14:paraId="5B689DF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障碍处理方面，程序将障碍矩形及其线距外扩区域视为不可访问节点。这样可以模拟固定安装孔、夹具避让区或已有器件占位。对于不同网络之间的交叉，本文采用测试尾板常见的多层合法化假设：原型阶段允许不同网络在平面投影中交叉，后续可通过层分配和过孔处理完成实际制造合法化。该处理使实验重点集中在布点位置是否合理、障碍是否可绕行和整体线长是否改善，也避免单层顺序布线对先后顺序过度敏感。</w:t>
      </w:r>
    </w:p>
    <w:p w14:paraId="352D765D">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4.2 布点布线协同优化机制</w:t>
      </w:r>
    </w:p>
    <w:p w14:paraId="7D544C7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不是两个完全独立的阶段。测试点离金手指过近会降低面积占比，但可能导致局部线束拥挤；测试点分散可以提高布线空间，却会增大尾板面积和总线长。本文采用代价反馈思路，将端子距离、测试点纵向位置、点间距和布线路径长度共同作为优化依据。实现中先完成布点并布线评估，再通过局部搜索降低代价。虽然原型没有实现复杂的全局重布线，但整体流程保留了协同优化接口，后续可加入网络流、线性规划或强化学习策略替换局部搜索模块。</w:t>
      </w:r>
    </w:p>
    <w:p w14:paraId="7C7C81AF">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4.3 拥塞感知与拆线重布策略</w:t>
      </w:r>
    </w:p>
    <w:p>
      <w:pPr>
        <w:spacing w:lineRule="exact" w:line="400" w:after="120" w:before="0"/>
        <w:ind/>
        <w:jc w:val="center"/>
      </w:pPr>
      <w:r>
        <w:rPr>
          <w:b w:val="0"/>
          <w:sz w:val="24"/>
          <w:rFonts w:eastAsia="宋体" w:ascii="Times New Roman" w:hAnsi="Times New Roman"/>
        </w:rPr>
        <w:t>式（4-1）</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4500000" cy="363178"/>
            <wp:docPr id="10" name="Picture 10"/>
            <wp:cNvGraphicFramePr>
              <a:graphicFrameLocks noChangeAspect="1"/>
            </wp:cNvGraphicFramePr>
            <a:graphic>
              <a:graphicData uri="http://schemas.openxmlformats.org/drawingml/2006/picture">
                <pic:pic>
                  <pic:nvPicPr>
                    <pic:cNvPr id="0" name="eq_4-1.png"/>
                    <pic:cNvPicPr/>
                  </pic:nvPicPr>
                  <pic:blipFill>
                    <a:blip r:embed="rId21"/>
                    <a:stretch>
                      <a:fillRect/>
                    </a:stretch>
                  </pic:blipFill>
                  <pic:spPr>
                    <a:xfrm>
                      <a:off x="0" y="0"/>
                      <a:ext cx="4500000" cy="363178"/>
                    </a:xfrm>
                    <a:prstGeom prst="rect"/>
                  </pic:spPr>
                </pic:pic>
              </a:graphicData>
            </a:graphic>
          </wp:inline>
        </w:drawing>
      </w:r>
    </w:p>
    <w:p>
      <w:pPr>
        <w:spacing w:lineRule="exact" w:line="400" w:after="120" w:before="0"/>
        <w:ind/>
        <w:jc w:val="center"/>
      </w:pPr>
      <w:r>
        <w:rPr>
          <w:b w:val="0"/>
          <w:sz w:val="24"/>
          <w:rFonts w:eastAsia="宋体" w:ascii="Times New Roman" w:hAnsi="Times New Roman"/>
        </w:rPr>
        <w:t>式（4-2）</w:t>
      </w:r>
    </w:p>
    <w:p>
      <w:pPr>
        <w:spacing w:lineRule="exact" w:line="400" w:after="120" w:before="0"/>
        <w:ind/>
        <w:jc w:val="center"/>
      </w:pPr>
      <w:r>
        <w:rPr>
          <w:b w:val="0"/>
          <w:sz w:val="24"/>
          <w:rFonts w:eastAsia="宋体" w:ascii="Times New Roman" w:hAnsi="Times New Roman"/>
        </w:rPr>
        <w:drawing>
          <wp:inline xmlns:a="http://schemas.openxmlformats.org/drawingml/2006/main" xmlns:pic="http://schemas.openxmlformats.org/drawingml/2006/picture">
            <wp:extent cx="3780000" cy="386859"/>
            <wp:docPr id="11" name="Picture 11"/>
            <wp:cNvGraphicFramePr>
              <a:graphicFrameLocks noChangeAspect="1"/>
            </wp:cNvGraphicFramePr>
            <a:graphic>
              <a:graphicData uri="http://schemas.openxmlformats.org/drawingml/2006/picture">
                <pic:pic>
                  <pic:nvPicPr>
                    <pic:cNvPr id="0" name="eq_4-2.png"/>
                    <pic:cNvPicPr/>
                  </pic:nvPicPr>
                  <pic:blipFill>
                    <a:blip r:embed="rId22"/>
                    <a:stretch>
                      <a:fillRect/>
                    </a:stretch>
                  </pic:blipFill>
                  <pic:spPr>
                    <a:xfrm>
                      <a:off x="0" y="0"/>
                      <a:ext cx="3780000" cy="386859"/>
                    </a:xfrm>
                    <a:prstGeom prst="rect"/>
                  </pic:spPr>
                </pic:pic>
              </a:graphicData>
            </a:graphic>
          </wp:inline>
        </w:drawing>
      </w:r>
    </w:p>
    <w:p>
      <w:pPr>
        <w:spacing w:lineRule="exact" w:line="400" w:after="120" w:before="0"/>
        <w:ind w:firstLine="420"/>
      </w:pPr>
      <w:r>
        <w:rPr>
          <w:b w:val="0"/>
          <w:sz w:val="24"/>
          <w:rFonts w:eastAsia="宋体" w:ascii="Times New Roman" w:hAnsi="Times New Roman"/>
        </w:rPr>
        <w:t>式（4-1）给出了拥塞感知A*的评价函数，式（4-2）给出了历史拥塞代价更新方式。rho用于控制历史信息衰减，Delta n_e表示本轮布线新增占用，alpha用于调节热点通道的绕行强度。</w:t>
      </w:r>
    </w:p>
    <w:p w14:paraId="217B8450">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布线中对通道容量和拥塞区域的建模思想，本文在A*布线之后增加拥塞统计层。程序将每条成功路径投影到网格单元，统计单元被网络经过的次数，并形成拥塞峰值和拥挤网格数量两个指标。拥塞峰值反映局部最严重的线束重叠程度，拥挤网格数量反映拥塞区域的空间范围。该处理虽未完整实现最大流或最小费用流求解，但吸收了网络流论文中“先压缩布线空间、再利用容量信息指导路径选择”的思路，适合作为本科毕业设计原型中的轻量、可解释工程化改进。</w:t>
      </w:r>
    </w:p>
    <w:p w14:paraId="47B41AD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蚁群算法中信息素矩阵和拥挤区域挥发的思想，本文将已布线路径视为历史信息素：某网格被越多网络经过，后续网络通过该网格的代价越高。不同于传统单纯A*只考虑距离和障碍，拥塞感知A*在代价函数中加入动态拥塞项，并按估计线长由长到短逐线布线。这样，长路径优先占据较稳定的通道，短路径随后根据实时拥塞图进行绕行。该机制本质上是一种简化拆线重布：先由PSO-Hanan方案给出紧凑布点，再用动态拥塞代价重构路径，以少量线长增加换取局部拥堵缓解。</w:t>
      </w:r>
    </w:p>
    <w:p w14:paraId="79B7B12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4-1 拥塞感知布线模块说明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268"/>
        <w:gridCol w:w="1928"/>
        <w:gridCol w:w="2835"/>
      </w:tblGrid>
      <w:tr w14:paraId="00E60EBA">
        <w:trPr>
          <w:tblHeader/>
          <w:jc w:val="center"/>
        </w:trPr>
        <w:tc>
          <w:tcPr>
            <w:tcW w:w="1531" w:type="dxa"/>
            <w:shd w:val="clear" w:color="auto" w:fill="EAF2F8"/>
            <w:vAlign w:val="center"/>
          </w:tcPr>
          <w:p w14:paraId="171273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模块</w:t>
            </w:r>
          </w:p>
        </w:tc>
        <w:tc>
          <w:tcPr>
            <w:tcW w:w="2268" w:type="dxa"/>
            <w:shd w:val="clear" w:color="auto" w:fill="EAF2F8"/>
            <w:vAlign w:val="center"/>
          </w:tcPr>
          <w:p w14:paraId="636C31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输入</w:t>
            </w:r>
          </w:p>
        </w:tc>
        <w:tc>
          <w:tcPr>
            <w:tcW w:w="1928" w:type="dxa"/>
            <w:shd w:val="clear" w:color="auto" w:fill="EAF2F8"/>
            <w:vAlign w:val="center"/>
          </w:tcPr>
          <w:p w14:paraId="65C7FA1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w:t>
            </w:r>
          </w:p>
        </w:tc>
        <w:tc>
          <w:tcPr>
            <w:tcW w:w="2835" w:type="dxa"/>
            <w:shd w:val="clear" w:color="auto" w:fill="EAF2F8"/>
            <w:vAlign w:val="center"/>
          </w:tcPr>
          <w:p w14:paraId="52CCF3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作用</w:t>
            </w:r>
          </w:p>
        </w:tc>
      </w:tr>
      <w:tr w14:paraId="049CB2E0">
        <w:trPr>
          <w:jc w:val="center"/>
        </w:trPr>
        <w:tc>
          <w:tcPr>
            <w:tcW w:w="1531" w:type="dxa"/>
            <w:vAlign w:val="center"/>
          </w:tcPr>
          <w:p w14:paraId="34250F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候选生成</w:t>
            </w:r>
          </w:p>
        </w:tc>
        <w:tc>
          <w:tcPr>
            <w:tcW w:w="2268" w:type="dxa"/>
            <w:vAlign w:val="center"/>
          </w:tcPr>
          <w:p w14:paraId="4BF2760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尾板尺寸、障碍区、网格步长</w:t>
            </w:r>
          </w:p>
        </w:tc>
        <w:tc>
          <w:tcPr>
            <w:tcW w:w="1928" w:type="dxa"/>
            <w:vAlign w:val="center"/>
          </w:tcPr>
          <w:p w14:paraId="77EFB56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可用候选点集合</w:t>
            </w:r>
          </w:p>
        </w:tc>
        <w:tc>
          <w:tcPr>
            <w:tcW w:w="2835" w:type="dxa"/>
            <w:vAlign w:val="center"/>
          </w:tcPr>
          <w:p w14:paraId="7886BE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提供满足基础规则的布点空间</w:t>
            </w:r>
          </w:p>
        </w:tc>
      </w:tr>
      <w:tr w14:paraId="40B17E5C">
        <w:trPr>
          <w:jc w:val="center"/>
        </w:trPr>
        <w:tc>
          <w:tcPr>
            <w:tcW w:w="1531" w:type="dxa"/>
            <w:vAlign w:val="center"/>
          </w:tcPr>
          <w:p w14:paraId="3D57451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初始布点</w:t>
            </w:r>
          </w:p>
        </w:tc>
        <w:tc>
          <w:tcPr>
            <w:tcW w:w="2268" w:type="dxa"/>
            <w:vAlign w:val="center"/>
          </w:tcPr>
          <w:p w14:paraId="4F8C7A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金手指端子、候选点集合</w:t>
            </w:r>
          </w:p>
        </w:tc>
        <w:tc>
          <w:tcPr>
            <w:tcW w:w="1928" w:type="dxa"/>
            <w:vAlign w:val="center"/>
          </w:tcPr>
          <w:p w14:paraId="79A5EE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测试点初始坐标</w:t>
            </w:r>
          </w:p>
        </w:tc>
        <w:tc>
          <w:tcPr>
            <w:tcW w:w="2835" w:type="dxa"/>
            <w:vAlign w:val="center"/>
          </w:tcPr>
          <w:p w14:paraId="38C3313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快速获得完整可行解</w:t>
            </w:r>
          </w:p>
        </w:tc>
      </w:tr>
      <w:tr w14:paraId="16CC1D73">
        <w:trPr>
          <w:jc w:val="center"/>
        </w:trPr>
        <w:tc>
          <w:tcPr>
            <w:tcW w:w="1531" w:type="dxa"/>
            <w:vAlign w:val="center"/>
          </w:tcPr>
          <w:p w14:paraId="378248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局部优化</w:t>
            </w:r>
          </w:p>
        </w:tc>
        <w:tc>
          <w:tcPr>
            <w:tcW w:w="2268" w:type="dxa"/>
            <w:vAlign w:val="center"/>
          </w:tcPr>
          <w:p w14:paraId="2D4295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初始坐标、间距规则</w:t>
            </w:r>
          </w:p>
        </w:tc>
        <w:tc>
          <w:tcPr>
            <w:tcW w:w="1928" w:type="dxa"/>
            <w:vAlign w:val="center"/>
          </w:tcPr>
          <w:p w14:paraId="58D29C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优化测试点坐标</w:t>
            </w:r>
          </w:p>
        </w:tc>
        <w:tc>
          <w:tcPr>
            <w:tcW w:w="2835" w:type="dxa"/>
            <w:vAlign w:val="center"/>
          </w:tcPr>
          <w:p w14:paraId="5C448C5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降低面积和线长代价</w:t>
            </w:r>
          </w:p>
        </w:tc>
      </w:tr>
      <w:tr w14:paraId="5F8E0052">
        <w:trPr>
          <w:jc w:val="center"/>
        </w:trPr>
        <w:tc>
          <w:tcPr>
            <w:tcW w:w="1531" w:type="dxa"/>
            <w:vAlign w:val="center"/>
          </w:tcPr>
          <w:p w14:paraId="344127A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A*布线</w:t>
            </w:r>
          </w:p>
        </w:tc>
        <w:tc>
          <w:tcPr>
            <w:tcW w:w="2268" w:type="dxa"/>
            <w:vAlign w:val="center"/>
          </w:tcPr>
          <w:p w14:paraId="73DC4C8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端子、测试点、障碍区</w:t>
            </w:r>
          </w:p>
        </w:tc>
        <w:tc>
          <w:tcPr>
            <w:tcW w:w="1928" w:type="dxa"/>
            <w:vAlign w:val="center"/>
          </w:tcPr>
          <w:p w14:paraId="715B48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路径点序列</w:t>
            </w:r>
          </w:p>
        </w:tc>
        <w:tc>
          <w:tcPr>
            <w:tcW w:w="2835" w:type="dxa"/>
            <w:vAlign w:val="center"/>
          </w:tcPr>
          <w:p w14:paraId="4E254AD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验证可达性并统计线长</w:t>
            </w:r>
          </w:p>
        </w:tc>
      </w:tr>
      <w:tr w14:paraId="2F48A13F">
        <w:trPr>
          <w:jc w:val="center"/>
        </w:trPr>
        <w:tc>
          <w:tcPr>
            <w:tcW w:w="1531" w:type="dxa"/>
            <w:vAlign w:val="center"/>
          </w:tcPr>
          <w:p w14:paraId="63010C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2268" w:type="dxa"/>
            <w:vAlign w:val="center"/>
          </w:tcPr>
          <w:p w14:paraId="55E9A6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预布线路径、拥塞图</w:t>
            </w:r>
          </w:p>
        </w:tc>
        <w:tc>
          <w:tcPr>
            <w:tcW w:w="1928" w:type="dxa"/>
            <w:vAlign w:val="center"/>
          </w:tcPr>
          <w:p w14:paraId="31B568E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低拥塞路径集合</w:t>
            </w:r>
          </w:p>
        </w:tc>
        <w:tc>
          <w:tcPr>
            <w:tcW w:w="2835" w:type="dxa"/>
            <w:vAlign w:val="center"/>
          </w:tcPr>
          <w:p w14:paraId="5D81723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降低局部重叠和通道热点</w:t>
            </w:r>
          </w:p>
        </w:tc>
      </w:tr>
      <w:tr w14:paraId="0B47E4DA">
        <w:trPr>
          <w:jc w:val="center"/>
        </w:trPr>
        <w:tc>
          <w:tcPr>
            <w:tcW w:w="1531" w:type="dxa"/>
            <w:vAlign w:val="center"/>
          </w:tcPr>
          <w:p w14:paraId="750C72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指标评估</w:t>
            </w:r>
          </w:p>
        </w:tc>
        <w:tc>
          <w:tcPr>
            <w:tcW w:w="2268" w:type="dxa"/>
            <w:vAlign w:val="center"/>
          </w:tcPr>
          <w:p w14:paraId="57D0B4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布点和布线结果</w:t>
            </w:r>
          </w:p>
        </w:tc>
        <w:tc>
          <w:tcPr>
            <w:tcW w:w="1928" w:type="dxa"/>
            <w:vAlign w:val="center"/>
          </w:tcPr>
          <w:p w14:paraId="139AF7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CSV指标和SVG图</w:t>
            </w:r>
          </w:p>
        </w:tc>
        <w:tc>
          <w:tcPr>
            <w:tcW w:w="2835" w:type="dxa"/>
            <w:vAlign w:val="center"/>
          </w:tcPr>
          <w:p w14:paraId="7AF932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支撑论文实验分析</w:t>
            </w:r>
          </w:p>
        </w:tc>
      </w:tr>
    </w:tbl>
    <w:p w14:paraId="6D92D0B4">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在实现上，拥塞感知A*的单步代价可以概括为：Cost(e)=L(e)+λobs·O(e)+λcong·U(e)+λturn·T(e)。其中L(e)为网格边长度，O(e)为障碍或边界惩罚，U(e)为该边或所在Tile的当前占用次数，T(e)为转弯惩罚，λobs、λcong和λturn为权重系数。由于障碍属于硬约束，O(e)在障碍节点上相当于无穷大；拥塞和转弯属于软目标，只在路径存在多种选择时影响A*搜索方向。该代价函数把胡木森网络流论文中的通道容量思想、刘自铭蚁群论文中的信息素思想和白胜泷Transformer-A*论文中的稳定搜索思想统一到同一工程实现框架中。</w:t>
      </w:r>
    </w:p>
    <w:p w14:paraId="2EE6B75D">
      <w:pPr>
        <w:pStyle w:val="4"/>
        <w:spacing w:lineRule="exact" w:line="400" w:before="200" w:after="12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4.4 分层布线与重布线改进流程</w:t>
      </w:r>
    </w:p>
    <w:p w14:paraId="2C5DACD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参考网络流论文中“全局容量判断—局部细节布线”的层次化思路，本文将尾板布线过程进一步解释为三层：第一层为全局引导层，依据Tile容量和金手指分布判断大致通道；第二层为细节搜索层，使用A*在网格点上生成具体路径；第三层为拥塞修正层，根据已布路径占用情况提高热点网格代价，并对拥塞较高或线长异常的网络进行重布线。</w:t>
      </w:r>
    </w:p>
    <w:p w14:paraId="4CFBCC89">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该策略与蚁群算法中的信息素更新具有相似思想：历史路径经过次数越多，说明该区域越拥挤，后续网络再次经过该区域的代价越高。但与完整蚁群算法不同，本文不模拟大量蚂蚁随机搜索，而是在确定性A*搜索中加入动态代价项，因此更容易复现实验结果，也更适合当前C++原型。</w:t>
      </w:r>
    </w:p>
    <w:p w14:paraId="4295408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改进后的重布线流程为：先按金手指到测试点的估计距离由长到短排序，保证长线优先获得连续通道；随后执行初次A*布线并建立拥塞矩阵；若某网格占用次数超过阈值，则将相关网络加入重布线队列；最后提高热点区域代价并重新搜索路径。若重布线导致总线长明显增加，则保留原路径并记录拥塞风险。该流程使算法结果具有“布通优先、拥塞次之、线长折中”的工程逻辑。</w:t>
      </w:r>
    </w:p>
    <w:p w14:paraId="0BA5FC4F">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5 系统实现</w:t>
      </w:r>
    </w:p>
    <w:p w14:paraId="35D755DC">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5.1 工程结构与运行方式</w:t>
      </w:r>
    </w:p>
    <w:p w14:paraId="0F92E0B4">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算法原型采用C++17标准实现，未引入Qt等图形界面依赖，以命令行方式保证跨平台可构建性和答辩演示便利性。工程包含CMakeLists.txt和Makefile两种构建入口；程序入口参数固定为“--case 案例文件 --out 输出目录”，案例文件采用CSV键值格式描述引脚数量、尾板尺寸、金手指间距、网格步长、最小测试点间距和障碍区域。除参数化案例外，项目还通过Python脚本对公开EDA文件进行轻量级解析，将KiCad原生板文件、Gerber层文件和Excellon/DRL钻孔文件中的结构信息转化为同一CSV输入格式，从而保证算法核心无需依赖特定EDA软件接口即可复现实验流程。</w:t>
      </w:r>
    </w:p>
    <w:p w14:paraId="5CFE9E3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5-1 工程文件结构与运行说明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268"/>
        <w:gridCol w:w="3515"/>
      </w:tblGrid>
      <w:tr w14:paraId="39F5A471">
        <w:trPr>
          <w:tblHeader/>
          <w:jc w:val="center"/>
        </w:trPr>
        <w:tc>
          <w:tcPr>
            <w:tcW w:w="2608" w:type="dxa"/>
            <w:shd w:val="clear" w:color="auto" w:fill="EAF2F8"/>
            <w:vAlign w:val="center"/>
          </w:tcPr>
          <w:p w14:paraId="0447FAA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路径</w:t>
            </w:r>
          </w:p>
        </w:tc>
        <w:tc>
          <w:tcPr>
            <w:tcW w:w="2268" w:type="dxa"/>
            <w:shd w:val="clear" w:color="auto" w:fill="EAF2F8"/>
            <w:vAlign w:val="center"/>
          </w:tcPr>
          <w:p w14:paraId="045CC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内容</w:t>
            </w:r>
          </w:p>
        </w:tc>
        <w:tc>
          <w:tcPr>
            <w:tcW w:w="3515" w:type="dxa"/>
            <w:shd w:val="clear" w:color="auto" w:fill="EAF2F8"/>
            <w:vAlign w:val="center"/>
          </w:tcPr>
          <w:p w14:paraId="5D05ECB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1F4F3C6F">
        <w:trPr>
          <w:jc w:val="center"/>
        </w:trPr>
        <w:tc>
          <w:tcPr>
            <w:tcW w:w="2608" w:type="dxa"/>
            <w:vAlign w:val="center"/>
          </w:tcPr>
          <w:p w14:paraId="6E87065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include/pcb_tail_router.hpp</w:t>
            </w:r>
          </w:p>
        </w:tc>
        <w:tc>
          <w:tcPr>
            <w:tcW w:w="2268" w:type="dxa"/>
            <w:vAlign w:val="center"/>
          </w:tcPr>
          <w:p w14:paraId="5D8D21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核心数据结构</w:t>
            </w:r>
          </w:p>
        </w:tc>
        <w:tc>
          <w:tcPr>
            <w:tcW w:w="3515" w:type="dxa"/>
            <w:vAlign w:val="center"/>
          </w:tcPr>
          <w:p w14:paraId="153318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定义Point、Rect、Scenario、TestPoint、Route、Metrics等模型</w:t>
            </w:r>
          </w:p>
        </w:tc>
      </w:tr>
      <w:tr w14:paraId="6A82EC7B">
        <w:trPr>
          <w:jc w:val="center"/>
        </w:trPr>
        <w:tc>
          <w:tcPr>
            <w:tcW w:w="2608" w:type="dxa"/>
            <w:vAlign w:val="center"/>
          </w:tcPr>
          <w:p w14:paraId="496145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src/main.cpp</w:t>
            </w:r>
          </w:p>
        </w:tc>
        <w:tc>
          <w:tcPr>
            <w:tcW w:w="2268" w:type="dxa"/>
            <w:vAlign w:val="center"/>
          </w:tcPr>
          <w:p w14:paraId="2A9AC93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算法实现与命令行入口</w:t>
            </w:r>
          </w:p>
        </w:tc>
        <w:tc>
          <w:tcPr>
            <w:tcW w:w="3515" w:type="dxa"/>
            <w:vAlign w:val="center"/>
          </w:tcPr>
          <w:p w14:paraId="02FEF8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包含案例解析、布点、布线、指标统计和SVG输出</w:t>
            </w:r>
          </w:p>
        </w:tc>
      </w:tr>
      <w:tr w14:paraId="467257FA">
        <w:trPr>
          <w:jc w:val="center"/>
        </w:trPr>
        <w:tc>
          <w:tcPr>
            <w:tcW w:w="2608" w:type="dxa"/>
            <w:vAlign w:val="center"/>
          </w:tcPr>
          <w:p w14:paraId="70A3AC5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data/case_*.csv</w:t>
            </w:r>
          </w:p>
        </w:tc>
        <w:tc>
          <w:tcPr>
            <w:tcW w:w="2268" w:type="dxa"/>
            <w:vAlign w:val="center"/>
          </w:tcPr>
          <w:p w14:paraId="5F67B2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五组实验案例</w:t>
            </w:r>
          </w:p>
        </w:tc>
        <w:tc>
          <w:tcPr>
            <w:tcW w:w="3515" w:type="dxa"/>
            <w:vAlign w:val="center"/>
          </w:tcPr>
          <w:p w14:paraId="7064A3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覆盖低密度、中密度、高密度、障碍和面积受限场景</w:t>
            </w:r>
          </w:p>
        </w:tc>
      </w:tr>
      <w:tr w14:paraId="2E35B81C">
        <w:trPr>
          <w:jc w:val="center"/>
        </w:trPr>
        <w:tc>
          <w:tcPr>
            <w:tcW w:w="2608" w:type="dxa"/>
            <w:vAlign w:val="center"/>
          </w:tcPr>
          <w:p w14:paraId="154BC2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results/case_*</w:t>
            </w:r>
          </w:p>
        </w:tc>
        <w:tc>
          <w:tcPr>
            <w:tcW w:w="2268" w:type="dxa"/>
            <w:vAlign w:val="center"/>
          </w:tcPr>
          <w:p w14:paraId="0B176C1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运行结果</w:t>
            </w:r>
          </w:p>
        </w:tc>
        <w:tc>
          <w:tcPr>
            <w:tcW w:w="3515" w:type="dxa"/>
            <w:vAlign w:val="center"/>
          </w:tcPr>
          <w:p w14:paraId="0A16A4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包含placement.csv、routes.csv、metrics.csv和layout.svg</w:t>
            </w:r>
          </w:p>
        </w:tc>
      </w:tr>
      <w:tr w14:paraId="53A5B37D">
        <w:trPr>
          <w:jc w:val="center"/>
        </w:trPr>
        <w:tc>
          <w:tcPr>
            <w:tcW w:w="2608" w:type="dxa"/>
            <w:vAlign w:val="center"/>
          </w:tcPr>
          <w:p w14:paraId="4973E1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README.md</w:t>
            </w:r>
          </w:p>
        </w:tc>
        <w:tc>
          <w:tcPr>
            <w:tcW w:w="2268" w:type="dxa"/>
            <w:vAlign w:val="center"/>
          </w:tcPr>
          <w:p w14:paraId="545EDC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运行说明</w:t>
            </w:r>
          </w:p>
        </w:tc>
        <w:tc>
          <w:tcPr>
            <w:tcW w:w="3515" w:type="dxa"/>
            <w:vAlign w:val="center"/>
          </w:tcPr>
          <w:p w14:paraId="724D4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记录构建命令、运行命令和输出文件含义</w:t>
            </w:r>
          </w:p>
        </w:tc>
      </w:tr>
    </w:tbl>
    <w:p w14:paraId="100FF487">
      <w:pPr>
        <w:spacing w:lineRule="exact" w:line="400" w:before="0" w:after="120"/>
        <w:rPr>
          <w:color w:val="000000" w:themeColor="text1"/>
          <w14:textFill>
            <w14:solidFill>
              <w14:schemeClr w14:val="tx1"/>
            </w14:solidFill>
          </w14:textFill>
        </w:rPr>
      </w:pPr>
    </w:p>
    <w:p w14:paraId="7CE2D4D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5.2 输出文件说明</w:t>
      </w:r>
    </w:p>
    <w:p w14:paraId="62516869">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placement.csv记录每个金手指对应测试点的坐标，可用于检查布点是否满足间距和边界约束；routes.csv记录每条网络是否布通、路径长度以及路径点序列，可用于复核障碍避让和线长统计；metrics.csv记录基线规则方案与优化方案的核心指标，是论文第六章表格和图表的数据来源；layout.svg以图形方式展示尾板边界、金手指、障碍、测试点和布线路径，便于答辩时直观说明算法效果。</w:t>
      </w:r>
    </w:p>
    <w:p w14:paraId="15D95624">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5.3 关键函数与数据流</w:t>
      </w:r>
    </w:p>
    <w:p>
      <w:pPr>
        <w:spacing w:lineRule="exact" w:line="400" w:after="120" w:before="0"/>
        <w:ind/>
        <w:jc w:val="center"/>
      </w:pPr>
      <w:r>
        <w:rPr>
          <w:b w:val="0"/>
          <w:sz w:val="24"/>
          <w:rFonts w:eastAsia="宋体" w:ascii="Times New Roman" w:hAnsi="Times New Roman"/>
        </w:rPr>
        <w:t>表 5-3 算法实现框架</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模块</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核心函数/流程</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对应指标</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案例解析</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case.csv / KiCad抽取参数</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read_scenario</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Scenario</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引脚数、尾板尺寸</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候选生成</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规则库、障碍区、网格步长</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generate_candidates</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候选点集合</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覆盖率、违规数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布点优化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金手指坐标、候选点</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place_optimized / place_pso_hanan</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placement.csv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面积占比、点间距</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布线搜索</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端子、测试点、障碍区</w:t>
            </w:r>
          </w:p>
        </w:tc>
        <w:tc>
          <w:tcPr>
            <w:tcW w:type="dxa" w:w="204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astar / route_all</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routes.csv</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布通率、总线长</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拥塞重布线</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初次路径、拥塞矩阵</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route_all_congestion_aware</w:t>
            </w:r>
          </w:p>
        </w:tc>
        <w:tc>
          <w:tcPr>
            <w:tcW w:type="dxa" w:w="147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优化路径</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拥塞峰值、拥挤网格数</w:t>
            </w:r>
          </w:p>
        </w:tc>
      </w:tr>
      <w:tr>
        <w:tc>
          <w:tcPr>
            <w:tcW w:type="dxa" w:w="1247"/>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结果导出</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Solution、Metrics</w:t>
            </w:r>
          </w:p>
        </w:tc>
        <w:tc>
          <w:tcPr>
            <w:tcW w:type="dxa" w:w="204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write_csvs / write_svg</w:t>
            </w:r>
          </w:p>
        </w:tc>
        <w:tc>
          <w:tcPr>
            <w:tcW w:type="dxa" w:w="1474"/>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metrics.csv、SVG/PNG</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论文图表</w:t>
            </w:r>
          </w:p>
        </w:tc>
      </w:tr>
    </w:tbl>
    <w:p>
      <w:pPr>
        <w:spacing w:after="120" w:lineRule="exact" w:line="400" w:before="0"/>
      </w:pPr>
    </w:p>
    <w:p>
      <w:pPr>
        <w:spacing w:lineRule="exact" w:line="400" w:after="120" w:before="0"/>
        <w:ind/>
        <w:jc w:val="center"/>
      </w:pPr>
      <w:r>
        <w:rPr>
          <w:b w:val="0"/>
          <w:sz w:val="24"/>
          <w:rFonts w:eastAsia="宋体" w:ascii="Times New Roman" w:hAnsi="Times New Roman"/>
        </w:rPr>
        <w:t>表 5-4 数据流与文件流</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阶段</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输入文件</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处理结果</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输出文件</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论文用途</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案例准备</w:t>
            </w:r>
          </w:p>
        </w:tc>
        <w:tc>
          <w:tcPr>
            <w:tcW w:type="dxa" w:w="170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公开.kicad_pcb / 参数化CSV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抽取金手指数量、间距和障碍</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data/*.csv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实验条件说明</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算法运行</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case.csv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生成布点、布线和指标</w:t>
            </w:r>
          </w:p>
        </w:tc>
        <w:tc>
          <w:tcPr>
            <w:tcW w:type="dxa" w:w="1871"/>
            <w:vAlign w:val="center"/>
          </w:tcPr>
          <w:p>
            <w:pPr>
              <w:spacing w:lineRule="exact" w:line="320" w:before="0" w:after="120"/>
              <w:ind/>
              <w:jc w:val="left"/>
            </w:pPr>
            <w:r>
              <w:rPr>
                <w:b w:val="0"/>
                <w:sz w:val="24"/>
                <w:rFonts w:eastAsia="宋体" w:ascii="Times New Roman" w:hAnsi="Times New Roman"/>
              </w:rPr>
            </w:r>
            <w:r>
              <w:rPr>
                <w:b w:val="0"/>
                <w:sz w:val="24"/>
                <w:rFonts w:eastAsia="宋体" w:ascii="Times New Roman" w:hAnsi="Times New Roman"/>
              </w:rPr>
              <w:t>placement.csv、routes.csv、metrics.csv</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指标表</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可视化</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路径与测试点坐标</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绘制尾板布局</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layout_*.svg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布线成果图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KiCad对比</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原始公开PCB</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KiCad CLI导出原图并拼接</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comparison_*.png</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公开案例截图</w:t>
            </w:r>
          </w:p>
        </w:tc>
      </w:tr>
      <w:tr>
        <w:tc>
          <w:tcPr>
            <w:tcW w:type="dxa" w:w="1020"/>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论文汇总</w:t>
            </w:r>
          </w:p>
        </w:tc>
        <w:tc>
          <w:tcPr>
            <w:tcW w:type="dxa" w:w="170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summary.csv</w:t>
            </w:r>
          </w:p>
        </w:tc>
        <w:tc>
          <w:tcPr>
            <w:tcW w:type="dxa" w:w="1928"/>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筛选基线与设计算法</w:t>
            </w:r>
          </w:p>
        </w:tc>
        <w:tc>
          <w:tcPr>
            <w:tcW w:type="dxa" w:w="1871"/>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表6-4、图6-4</w:t>
            </w:r>
          </w:p>
        </w:tc>
        <w:tc>
          <w:tcPr>
            <w:tcW w:type="dxa" w:w="1644"/>
            <w:vAlign w:val="center"/>
          </w:tcPr>
          <w:p>
            <w:pPr>
              <w:spacing w:lineRule="exact" w:line="320" w:before="0" w:after="120"/>
              <w:ind/>
              <w:jc w:val="center"/>
            </w:pPr>
            <w:r>
              <w:rPr>
                <w:b w:val="0"/>
                <w:sz w:val="24"/>
                <w:rFonts w:eastAsia="宋体" w:ascii="Times New Roman" w:hAnsi="Times New Roman"/>
              </w:rPr>
            </w:r>
            <w:r>
              <w:rPr>
                <w:b w:val="0"/>
                <w:sz w:val="24"/>
                <w:rFonts w:eastAsia="宋体" w:ascii="Times New Roman" w:hAnsi="Times New Roman"/>
              </w:rPr>
              <w:t>量化结论</w:t>
            </w:r>
          </w:p>
        </w:tc>
      </w:tr>
    </w:tbl>
    <w:p>
      <w:pPr>
        <w:spacing w:after="120" w:lineRule="exact" w:line="400" w:before="0"/>
      </w:pPr>
    </w:p>
    <w:p w14:paraId="43F9AC57">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程序的数据流从案例解析开始。read_scenario函数负责读取CSV键值对，将引脚数量、尾板尺寸、金手指间距、网格步长、测试点最小间距和障碍区域转化为Scenario结构体。generate_pins函数根据金手指数量和间距在尾板上边界生成端子坐标，保证不同案例具有统一的数据入口。generate_candidates函数遍历尾板内部网格点并剔除障碍点，形成可选测试点集合。上述步骤对应论文模型中的输入层和约束预处理层，决定后续算法是否能够在合法空间内搜索。</w:t>
      </w:r>
    </w:p>
    <w:p>
      <w:pPr>
        <w:pStyle w:val="4"/>
        <w:spacing w:lineRule="exact" w:line="400" w:after="120"/>
      </w:pPr>
      <w:commentRangeStart w:id="0"/>
      <w:r>
        <w:rPr>
          <w:sz w:val="24"/>
          <w:rFonts w:eastAsia="宋体" w:ascii="Times New Roman" w:hAnsi="Times New Roman"/>
        </w:rPr>
        <w:t>5.4 真实EDA文件解析流程</w:t>
      </w:r>
      <w:commentRangeEnd w:id="0"/>
      <w:r>
        <w:rPr>
          <w:rStyle w:val="CommentReference"/>
        </w:rPr>
        <w:commentReference w:id="0"/>
      </w:r>
    </w:p>
    <w:p>
      <w:pPr>
        <w:spacing w:lineRule="exact" w:line="400" w:after="120"/>
        <w:ind w:firstLine="420"/>
      </w:pPr>
      <w:r>
        <w:rPr>
          <w:sz w:val="24"/>
          <w:rFonts w:eastAsia="宋体" w:ascii="Times New Roman" w:hAnsi="Times New Roman"/>
        </w:rPr>
        <w:t>为回应真实EDA文件解析相关审阅意见，本文在原有参数化案例之外补充公开EDA文件解析入口。解析流程以KiCad原生板文件为主要输入，提取板框、footprint、pad坐标和连接器候选；当公开项目提供Gerber层文件和Excellon/DRL钻孔文件时，进一步统计层文件、Edge_Cuts边界和钻孔命中信息。解析结果被统一转换为data/eda_cases目录下的CSV案例文件，再由同一C++布点布线程序生成指标表、路径数据和可视化截图。</w:t>
      </w:r>
    </w:p>
    <w:p>
      <w:pPr>
        <w:spacing w:lineRule="auto" w:line="240" w:after="60"/>
        <w:ind/>
        <w:jc w:val="center"/>
      </w:pPr>
      <w:r>
        <w:drawing>
          <wp:inline xmlns:a="http://schemas.openxmlformats.org/drawingml/2006/main" xmlns:pic="http://schemas.openxmlformats.org/drawingml/2006/picture">
            <wp:extent cx="5688000" cy="1599750"/>
            <wp:docPr id="13" name="Picture 13"/>
            <wp:cNvGraphicFramePr>
              <a:graphicFrameLocks noChangeAspect="1"/>
            </wp:cNvGraphicFramePr>
            <a:graphic>
              <a:graphicData uri="http://schemas.openxmlformats.org/drawingml/2006/picture">
                <pic:pic>
                  <pic:nvPicPr>
                    <pic:cNvPr id="0" name="eda_parse_flow.png"/>
                    <pic:cNvPicPr/>
                  </pic:nvPicPr>
                  <pic:blipFill>
                    <a:blip r:embed="rId27"/>
                    <a:stretch>
                      <a:fillRect/>
                    </a:stretch>
                  </pic:blipFill>
                  <pic:spPr>
                    <a:xfrm>
                      <a:off x="0" y="0"/>
                      <a:ext cx="5688000" cy="1599750"/>
                    </a:xfrm>
                    <a:prstGeom prst="rect"/>
                  </pic:spPr>
                </pic:pic>
              </a:graphicData>
            </a:graphic>
          </wp:inline>
        </w:drawing>
      </w:r>
    </w:p>
    <w:p>
      <w:pPr>
        <w:spacing w:lineRule="exact" w:line="400" w:after="120"/>
        <w:ind/>
        <w:jc w:val="center"/>
      </w:pPr>
      <w:r>
        <w:rPr>
          <w:sz w:val="24"/>
          <w:rFonts w:eastAsia="宋体" w:ascii="Times New Roman" w:hAnsi="Times New Roman"/>
        </w:rPr>
        <w:t>图 5-1 真实EDA文件解析与算法实验数据流</w:t>
      </w:r>
    </w:p>
    <w:p>
      <w:pPr>
        <w:spacing w:lineRule="exact" w:line="400" w:after="120"/>
        <w:ind w:firstLine="420"/>
      </w:pPr>
      <w:r>
        <w:rPr>
          <w:sz w:val="24"/>
          <w:rFonts w:eastAsia="宋体" w:ascii="Times New Roman" w:hAnsi="Times New Roman"/>
        </w:rPr>
        <w:t>该流程使实验数据不再停留于参数化构造，而是能够从公开EDA工程中抽取端子结构和制造文件线索。需要说明的是，本文采用“公开EDA案例化验证”表述，强调数据来源为公开工程和轻量级解析结果，不将其等同于企业量产板卡的完整设计签核。</w:t>
      </w:r>
    </w:p>
    <w:p>
      <w:pPr>
        <w:spacing w:lineRule="exact" w:line="400" w:after="120"/>
        <w:ind/>
        <w:jc w:val="center"/>
      </w:pPr>
      <w:r>
        <w:rPr>
          <w:sz w:val="24"/>
          <w:rFonts w:eastAsia="宋体" w:ascii="Times New Roman" w:hAnsi="Times New Roman"/>
        </w:rPr>
        <w:t>表 5-5 真实EDA文件解析对象与输出字段</w:t>
      </w:r>
    </w:p>
    <w:tbl>
      <w:tblPr>
        <w:tblStyle w:val="33"/>
        <w:tblW w:type="auto" w:w="0"/>
        <w:jc w:val="center"/>
        <w:tblLook w:firstColumn="1" w:firstRow="1" w:lastColumn="0" w:lastRow="0" w:noHBand="0" w:noVBand="1" w:val="04A0"/>
      </w:tblPr>
      <w:tblGrid>
        <w:gridCol w:w="2268"/>
        <w:gridCol w:w="2268"/>
        <w:gridCol w:w="2268"/>
        <w:gridCol w:w="2268"/>
      </w:tblGrid>
      <w:tr>
        <w:trPr>
          <w:tblHeader w:val="true"/>
        </w:trPr>
        <w:tc>
          <w:tcPr>
            <w:tcW w:type="dxa" w:w="1701"/>
            <w:vAlign w:val="center"/>
            <w:shd w:fill="EAF2F8"/>
          </w:tcPr>
          <w:p>
            <w:pPr>
              <w:spacing w:lineRule="exact" w:line="280" w:after="0"/>
              <w:jc w:val="center"/>
            </w:pPr>
            <w:r/>
            <w:r>
              <w:rPr>
                <w:b/>
                <w:sz w:val="18"/>
                <w:rFonts w:eastAsia="宋体" w:ascii="Times New Roman" w:hAnsi="Times New Roman"/>
              </w:rPr>
              <w:t>解析对象</w:t>
            </w:r>
          </w:p>
        </w:tc>
        <w:tc>
          <w:tcPr>
            <w:tcW w:type="dxa" w:w="2948"/>
            <w:vAlign w:val="center"/>
            <w:shd w:fill="EAF2F8"/>
          </w:tcPr>
          <w:p>
            <w:pPr>
              <w:spacing w:lineRule="exact" w:line="280" w:after="0"/>
              <w:jc w:val="center"/>
            </w:pPr>
            <w:r/>
            <w:r>
              <w:rPr>
                <w:b/>
                <w:sz w:val="18"/>
                <w:rFonts w:eastAsia="宋体" w:ascii="Times New Roman" w:hAnsi="Times New Roman"/>
              </w:rPr>
              <w:t>提取内容</w:t>
            </w:r>
          </w:p>
        </w:tc>
        <w:tc>
          <w:tcPr>
            <w:tcW w:type="dxa" w:w="2381"/>
            <w:vAlign w:val="center"/>
            <w:shd w:fill="EAF2F8"/>
          </w:tcPr>
          <w:p>
            <w:pPr>
              <w:spacing w:lineRule="exact" w:line="280" w:after="0"/>
              <w:jc w:val="center"/>
            </w:pPr>
            <w:r/>
            <w:r>
              <w:rPr>
                <w:b/>
                <w:sz w:val="18"/>
                <w:rFonts w:eastAsia="宋体" w:ascii="Times New Roman" w:hAnsi="Times New Roman"/>
              </w:rPr>
              <w:t>输出字段</w:t>
            </w:r>
          </w:p>
        </w:tc>
        <w:tc>
          <w:tcPr>
            <w:tcW w:type="dxa" w:w="2268"/>
            <w:vAlign w:val="center"/>
            <w:shd w:fill="EAF2F8"/>
          </w:tcPr>
          <w:p>
            <w:pPr>
              <w:spacing w:lineRule="exact" w:line="280" w:after="0"/>
              <w:jc w:val="center"/>
            </w:pPr>
            <w:r/>
            <w:r>
              <w:rPr>
                <w:b/>
                <w:sz w:val="18"/>
                <w:rFonts w:eastAsia="宋体" w:ascii="Times New Roman" w:hAnsi="Times New Roman"/>
              </w:rPr>
              <w:t>用途</w:t>
            </w:r>
          </w:p>
        </w:tc>
      </w:tr>
      <w:tr>
        <w:tc>
          <w:tcPr>
            <w:tcW w:type="dxa" w:w="1701"/>
            <w:vAlign w:val="center"/>
          </w:tcPr>
          <w:p>
            <w:pPr>
              <w:spacing w:lineRule="exact" w:line="280" w:after="0"/>
              <w:jc w:val="center"/>
            </w:pPr>
            <w:r/>
            <w:r>
              <w:rPr>
                <w:b w:val="0"/>
                <w:sz w:val="18"/>
                <w:rFonts w:eastAsia="宋体" w:ascii="Times New Roman" w:hAnsi="Times New Roman"/>
              </w:rPr>
              <w:t>.kicad_pcb</w:t>
            </w:r>
          </w:p>
        </w:tc>
        <w:tc>
          <w:tcPr>
            <w:tcW w:type="dxa" w:w="2948"/>
            <w:vAlign w:val="center"/>
          </w:tcPr>
          <w:p>
            <w:pPr>
              <w:spacing w:lineRule="exact" w:line="280" w:after="0"/>
              <w:jc w:val="left"/>
            </w:pPr>
            <w:r/>
            <w:r>
              <w:rPr>
                <w:b w:val="0"/>
                <w:sz w:val="18"/>
                <w:rFonts w:eastAsia="宋体" w:ascii="Times New Roman" w:hAnsi="Times New Roman"/>
              </w:rPr>
              <w:t>板框、footprint、pad坐标、连接器候选</w:t>
            </w:r>
          </w:p>
        </w:tc>
        <w:tc>
          <w:tcPr>
            <w:tcW w:type="dxa" w:w="2381"/>
            <w:vAlign w:val="center"/>
          </w:tcPr>
          <w:p>
            <w:pPr>
              <w:spacing w:lineRule="exact" w:line="280" w:after="0"/>
              <w:jc w:val="left"/>
            </w:pPr>
            <w:r/>
            <w:r>
              <w:rPr>
                <w:b w:val="0"/>
                <w:sz w:val="18"/>
                <w:rFonts w:eastAsia="宋体" w:ascii="Times New Roman" w:hAnsi="Times New Roman"/>
              </w:rPr>
              <w:t>pin_positions、footprint、pins</w:t>
            </w:r>
          </w:p>
        </w:tc>
        <w:tc>
          <w:tcPr>
            <w:tcW w:type="dxa" w:w="2268"/>
            <w:vAlign w:val="center"/>
          </w:tcPr>
          <w:p>
            <w:pPr>
              <w:spacing w:lineRule="exact" w:line="280" w:after="0"/>
              <w:jc w:val="center"/>
            </w:pPr>
            <w:r/>
            <w:r>
              <w:rPr>
                <w:b w:val="0"/>
                <w:sz w:val="18"/>
                <w:rFonts w:eastAsia="宋体" w:ascii="Times New Roman" w:hAnsi="Times New Roman"/>
              </w:rPr>
              <w:t>生成真实端子坐标输入</w:t>
            </w:r>
          </w:p>
        </w:tc>
      </w:tr>
      <w:tr>
        <w:tc>
          <w:tcPr>
            <w:tcW w:type="dxa" w:w="1701"/>
            <w:vAlign w:val="center"/>
          </w:tcPr>
          <w:p>
            <w:pPr>
              <w:spacing w:lineRule="exact" w:line="280" w:after="0"/>
              <w:jc w:val="center"/>
            </w:pPr>
            <w:r/>
            <w:r>
              <w:rPr>
                <w:b w:val="0"/>
                <w:sz w:val="18"/>
                <w:rFonts w:eastAsia="宋体" w:ascii="Times New Roman" w:hAnsi="Times New Roman"/>
              </w:rPr>
              <w:t>Gerber</w:t>
            </w:r>
          </w:p>
        </w:tc>
        <w:tc>
          <w:tcPr>
            <w:tcW w:type="dxa" w:w="2948"/>
            <w:vAlign w:val="center"/>
          </w:tcPr>
          <w:p>
            <w:pPr>
              <w:spacing w:lineRule="exact" w:line="280" w:after="0"/>
              <w:jc w:val="left"/>
            </w:pPr>
            <w:r/>
            <w:r>
              <w:rPr>
                <w:b w:val="0"/>
                <w:sz w:val="18"/>
                <w:rFonts w:eastAsia="宋体" w:ascii="Times New Roman" w:hAnsi="Times New Roman"/>
              </w:rPr>
              <w:t>层文件、Edge_Cuts/Profile边界、Gerber元数据</w:t>
            </w:r>
          </w:p>
        </w:tc>
        <w:tc>
          <w:tcPr>
            <w:tcW w:type="dxa" w:w="2381"/>
            <w:vAlign w:val="center"/>
          </w:tcPr>
          <w:p>
            <w:pPr>
              <w:spacing w:lineRule="exact" w:line="280" w:after="0"/>
              <w:jc w:val="left"/>
            </w:pPr>
            <w:r/>
            <w:r>
              <w:rPr>
                <w:b w:val="0"/>
                <w:sz w:val="18"/>
                <w:rFonts w:eastAsia="宋体" w:ascii="Times New Roman" w:hAnsi="Times New Roman"/>
              </w:rPr>
              <w:t>gerber_files、gerber_bbox</w:t>
            </w:r>
          </w:p>
        </w:tc>
        <w:tc>
          <w:tcPr>
            <w:tcW w:type="dxa" w:w="2268"/>
            <w:vAlign w:val="center"/>
          </w:tcPr>
          <w:p>
            <w:pPr>
              <w:spacing w:lineRule="exact" w:line="280" w:after="0"/>
              <w:jc w:val="center"/>
            </w:pPr>
            <w:r/>
            <w:r>
              <w:rPr>
                <w:b w:val="0"/>
                <w:sz w:val="18"/>
                <w:rFonts w:eastAsia="宋体" w:ascii="Times New Roman" w:hAnsi="Times New Roman"/>
              </w:rPr>
              <w:t>补充制造文件解析证据</w:t>
            </w:r>
          </w:p>
        </w:tc>
      </w:tr>
      <w:tr>
        <w:tc>
          <w:tcPr>
            <w:tcW w:type="dxa" w:w="1701"/>
            <w:vAlign w:val="center"/>
          </w:tcPr>
          <w:p>
            <w:pPr>
              <w:spacing w:lineRule="exact" w:line="280" w:after="0"/>
              <w:jc w:val="center"/>
            </w:pPr>
            <w:r/>
            <w:r>
              <w:rPr>
                <w:b w:val="0"/>
                <w:sz w:val="18"/>
                <w:rFonts w:eastAsia="宋体" w:ascii="Times New Roman" w:hAnsi="Times New Roman"/>
              </w:rPr>
              <w:t>Excellon/DRL</w:t>
            </w:r>
          </w:p>
        </w:tc>
        <w:tc>
          <w:tcPr>
            <w:tcW w:type="dxa" w:w="2948"/>
            <w:vAlign w:val="center"/>
          </w:tcPr>
          <w:p>
            <w:pPr>
              <w:spacing w:lineRule="exact" w:line="280" w:after="0"/>
              <w:jc w:val="center"/>
            </w:pPr>
            <w:r/>
            <w:r>
              <w:rPr>
                <w:b w:val="0"/>
                <w:sz w:val="18"/>
                <w:rFonts w:eastAsia="宋体" w:ascii="Times New Roman" w:hAnsi="Times New Roman"/>
              </w:rPr>
              <w:t>钻孔文件、钻孔坐标命中数</w:t>
            </w:r>
          </w:p>
        </w:tc>
        <w:tc>
          <w:tcPr>
            <w:tcW w:type="dxa" w:w="2381"/>
            <w:vAlign w:val="center"/>
          </w:tcPr>
          <w:p>
            <w:pPr>
              <w:spacing w:lineRule="exact" w:line="280" w:after="0"/>
              <w:jc w:val="left"/>
            </w:pPr>
            <w:r/>
            <w:r>
              <w:rPr>
                <w:b w:val="0"/>
                <w:sz w:val="18"/>
                <w:rFonts w:eastAsia="宋体" w:ascii="Times New Roman" w:hAnsi="Times New Roman"/>
              </w:rPr>
              <w:t>drill_files、drill_hits</w:t>
            </w:r>
          </w:p>
        </w:tc>
        <w:tc>
          <w:tcPr>
            <w:tcW w:type="dxa" w:w="2268"/>
            <w:vAlign w:val="center"/>
          </w:tcPr>
          <w:p>
            <w:pPr>
              <w:spacing w:lineRule="exact" w:line="280" w:after="0"/>
              <w:jc w:val="center"/>
            </w:pPr>
            <w:r/>
            <w:r>
              <w:rPr>
                <w:b w:val="0"/>
                <w:sz w:val="18"/>
                <w:rFonts w:eastAsia="宋体" w:ascii="Times New Roman" w:hAnsi="Times New Roman"/>
              </w:rPr>
              <w:t>说明通孔、安装孔等制造信息</w:t>
            </w:r>
          </w:p>
        </w:tc>
      </w:tr>
      <w:tr>
        <w:tc>
          <w:tcPr>
            <w:tcW w:type="dxa" w:w="1701"/>
            <w:vAlign w:val="center"/>
          </w:tcPr>
          <w:p>
            <w:pPr>
              <w:spacing w:lineRule="exact" w:line="280" w:after="0"/>
              <w:jc w:val="center"/>
            </w:pPr>
            <w:r/>
            <w:r>
              <w:rPr>
                <w:b w:val="0"/>
                <w:sz w:val="18"/>
                <w:rFonts w:eastAsia="宋体" w:ascii="Times New Roman" w:hAnsi="Times New Roman"/>
              </w:rPr>
              <w:t>C++ CSV</w:t>
            </w:r>
          </w:p>
        </w:tc>
        <w:tc>
          <w:tcPr>
            <w:tcW w:type="dxa" w:w="2948"/>
            <w:vAlign w:val="center"/>
          </w:tcPr>
          <w:p>
            <w:pPr>
              <w:spacing w:lineRule="exact" w:line="280" w:after="0"/>
              <w:jc w:val="center"/>
            </w:pPr>
            <w:r/>
            <w:r>
              <w:rPr>
                <w:b w:val="0"/>
                <w:sz w:val="18"/>
                <w:rFonts w:eastAsia="宋体" w:ascii="Times New Roman" w:hAnsi="Times New Roman"/>
              </w:rPr>
              <w:t>端子坐标、尾板尺寸、障碍区、规则参数</w:t>
            </w:r>
          </w:p>
        </w:tc>
        <w:tc>
          <w:tcPr>
            <w:tcW w:type="dxa" w:w="2381"/>
            <w:vAlign w:val="center"/>
          </w:tcPr>
          <w:p>
            <w:pPr>
              <w:spacing w:lineRule="exact" w:line="280" w:after="0"/>
              <w:jc w:val="left"/>
            </w:pPr>
            <w:r/>
            <w:r>
              <w:rPr>
                <w:b w:val="0"/>
                <w:sz w:val="18"/>
                <w:rFonts w:eastAsia="宋体" w:ascii="Times New Roman" w:hAnsi="Times New Roman"/>
              </w:rPr>
              <w:t>data/eda_cases/*.csv</w:t>
            </w:r>
          </w:p>
        </w:tc>
        <w:tc>
          <w:tcPr>
            <w:tcW w:type="dxa" w:w="2268"/>
            <w:vAlign w:val="center"/>
          </w:tcPr>
          <w:p>
            <w:pPr>
              <w:spacing w:lineRule="exact" w:line="280" w:after="0"/>
              <w:jc w:val="center"/>
            </w:pPr>
            <w:r/>
            <w:r>
              <w:rPr>
                <w:b w:val="0"/>
                <w:sz w:val="18"/>
                <w:rFonts w:eastAsia="宋体" w:ascii="Times New Roman" w:hAnsi="Times New Roman"/>
              </w:rPr>
              <w:t>驱动布点布线算法</w:t>
            </w:r>
          </w:p>
        </w:tc>
      </w:tr>
    </w:tbl>
    <w:p>
      <w:pPr>
        <w:spacing w:lineRule="exact" w:line="400" w:after="120"/>
      </w:pPr>
    </w:p>
    <w:p w14:paraId="76A43DAD">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点阶段由place_baseline、place_optimized和place_pso_hanan三个函数分别实现。第一组按照规则行列方式放置测试点，用作人工经验方案的近似基线；第二组先根据金手指横向位置分配目标带，再对候选点进行贪心选择和局部禁忌调整；第三组参考PSO与Hanan点优化思想，用粒子群搜索布点参数，并在候选点选择中综合线长、面积和间距代价。PSO实现采用递减惯性权重，使前期具有更强探索能力，后期逐步收敛到稳定参数组合。</w:t>
      </w:r>
    </w:p>
    <w:p w14:paraId="545A840B">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布线阶段由astar、route_all和route_all_congestion_aware函数完成。astar函数在网格图上搜索单个网络路径，障碍区域被视为不可访问节点；route_all函数依次处理所有测试点，并将路径结果整理为Route集合；route_all_congestion_aware函数则在预布线结果基础上构建动态拥塞图，将历史路径占用作为类似蚁群信息素的代价项，引导后续网络避开热点区域。evaluate函数对布点和布线结果进行统一评价，除覆盖率、布通率、面积占比、总线长和违规数外，还统计拥塞峰值和拥挤网格数量。write_csvs和write_svg函数负责把结果落盘，形成论文可引用的数据和图示。</w:t>
      </w:r>
    </w:p>
    <w:p w14:paraId="16264007">
      <w:pPr>
        <w:pStyle w:val="4"/>
        <w:spacing w:lineRule="exact" w:line="400" w:before="200" w:after="120"/>
        <w:jc w:val="left"/>
        <w:rPr>
          <w:color w:val="000000" w:themeColor="text1"/>
          <w14:textFill>
            <w14:solidFill>
              <w14:schemeClr w14:val="tx1"/>
            </w14:solidFill>
          </w14:textFill>
        </w:rPr>
      </w:pPr>
      <w:r>
        <w:rPr>
          <w:b/>
          <w:sz w:val="24"/>
          <w:rFonts w:eastAsia="宋体" w:ascii="Times New Roman" w:hAnsi="Times New Roman"/>
        </w:rPr>
        <w:t>5.5 文献支撑下的代码模块对应关系</w:t>
      </w:r>
    </w:p>
    <w:p w14:paraId="03133F63">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为保证“论文—文献—代码”三者一致，本文将每类文献思想对应到一个可检查的程序模块。这样在答辩时不仅可以说明算法从哪里来，也可以说明该思想在源代码和实验指标中如何体现。</w:t>
      </w:r>
    </w:p>
    <w:p w14:paraId="0C539AE1">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5-2 文献思想与 C++ 模块对应关系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358"/>
        <w:gridCol w:w="2268"/>
        <w:gridCol w:w="2268"/>
      </w:tblGrid>
      <w:tr w14:paraId="72A74AF5">
        <w:trPr>
          <w:tblHeader/>
          <w:jc w:val="center"/>
        </w:trPr>
        <w:tc>
          <w:tcPr>
            <w:tcW w:w="2268" w:type="dxa"/>
            <w:vAlign w:val="center"/>
          </w:tcPr>
          <w:p w14:paraId="3D31B5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文献思想</w:t>
            </w:r>
          </w:p>
        </w:tc>
        <w:tc>
          <w:tcPr>
            <w:tcW w:w="2268" w:type="dxa"/>
            <w:vAlign w:val="center"/>
          </w:tcPr>
          <w:p w14:paraId="002E20A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代码/流程对应位置</w:t>
            </w:r>
          </w:p>
        </w:tc>
        <w:tc>
          <w:tcPr>
            <w:tcW w:w="2268" w:type="dxa"/>
            <w:vAlign w:val="center"/>
          </w:tcPr>
          <w:p w14:paraId="40427C8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输出证据</w:t>
            </w:r>
          </w:p>
        </w:tc>
        <w:tc>
          <w:tcPr>
            <w:tcW w:w="2268" w:type="dxa"/>
            <w:vAlign w:val="center"/>
          </w:tcPr>
          <w:p w14:paraId="4E18A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说明</w:t>
            </w:r>
          </w:p>
        </w:tc>
      </w:tr>
      <w:tr w14:paraId="7F76B78B">
        <w:trPr>
          <w:jc w:val="center"/>
        </w:trPr>
        <w:tc>
          <w:tcPr>
            <w:tcW w:w="2268" w:type="dxa"/>
            <w:vAlign w:val="center"/>
          </w:tcPr>
          <w:p w14:paraId="097C7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TPI候选选择</w:t>
            </w:r>
          </w:p>
        </w:tc>
        <w:tc>
          <w:tcPr>
            <w:tcW w:w="2268" w:type="dxa"/>
            <w:vAlign w:val="center"/>
          </w:tcPr>
          <w:p w14:paraId="0556A5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generate_candidates、place_optimized</w:t>
            </w:r>
          </w:p>
        </w:tc>
        <w:tc>
          <w:tcPr>
            <w:tcW w:w="2268" w:type="dxa"/>
            <w:vAlign w:val="center"/>
          </w:tcPr>
          <w:p w14:paraId="16C1B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placement.csv、覆盖率</w:t>
            </w:r>
          </w:p>
        </w:tc>
        <w:tc>
          <w:tcPr>
            <w:tcW w:w="2268" w:type="dxa"/>
            <w:vAlign w:val="center"/>
          </w:tcPr>
          <w:p w14:paraId="49E942F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体现测试点插入与覆盖率目标</w:t>
            </w:r>
          </w:p>
        </w:tc>
      </w:tr>
      <w:tr w14:paraId="36426A2B">
        <w:trPr>
          <w:jc w:val="center"/>
        </w:trPr>
        <w:tc>
          <w:tcPr>
            <w:tcW w:w="2268" w:type="dxa"/>
            <w:vAlign w:val="center"/>
          </w:tcPr>
          <w:p w14:paraId="48DC2D3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PSO与Hanan候选优化</w:t>
            </w:r>
          </w:p>
        </w:tc>
        <w:tc>
          <w:tcPr>
            <w:tcW w:w="2268" w:type="dxa"/>
            <w:vAlign w:val="center"/>
          </w:tcPr>
          <w:p w14:paraId="2CE33E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place_pso_hanan</w:t>
            </w:r>
          </w:p>
        </w:tc>
        <w:tc>
          <w:tcPr>
            <w:tcW w:w="2268" w:type="dxa"/>
            <w:vAlign w:val="center"/>
          </w:tcPr>
          <w:p w14:paraId="669CB2D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面积占比、总线长</w:t>
            </w:r>
          </w:p>
        </w:tc>
        <w:tc>
          <w:tcPr>
            <w:tcW w:w="2268" w:type="dxa"/>
            <w:vAlign w:val="center"/>
          </w:tcPr>
          <w:p w14:paraId="59C67A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用于压缩布点范围并降低路径长度</w:t>
            </w:r>
          </w:p>
        </w:tc>
      </w:tr>
      <w:tr w14:paraId="7271D6D0">
        <w:trPr>
          <w:jc w:val="center"/>
        </w:trPr>
        <w:tc>
          <w:tcPr>
            <w:tcW w:w="2268" w:type="dxa"/>
            <w:vAlign w:val="center"/>
          </w:tcPr>
          <w:p w14:paraId="281E0F0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A*与经典迷宫搜索</w:t>
            </w:r>
          </w:p>
        </w:tc>
        <w:tc>
          <w:tcPr>
            <w:tcW w:w="2268" w:type="dxa"/>
            <w:vAlign w:val="center"/>
          </w:tcPr>
          <w:p w14:paraId="0085A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astar、route_all</w:t>
            </w:r>
          </w:p>
        </w:tc>
        <w:tc>
          <w:tcPr>
            <w:tcW w:w="2268" w:type="dxa"/>
            <w:vAlign w:val="center"/>
          </w:tcPr>
          <w:p w14:paraId="71D7C9E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routes.csv、线长、布通率</w:t>
            </w:r>
          </w:p>
        </w:tc>
        <w:tc>
          <w:tcPr>
            <w:tcW w:w="2268" w:type="dxa"/>
            <w:vAlign w:val="center"/>
          </w:tcPr>
          <w:p w14:paraId="01B85A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完成端子到测试点的可达路径搜索</w:t>
            </w:r>
          </w:p>
        </w:tc>
      </w:tr>
      <w:tr w14:paraId="0C527C64">
        <w:trPr>
          <w:jc w:val="center"/>
        </w:trPr>
        <w:tc>
          <w:tcPr>
            <w:tcW w:w="2268" w:type="dxa"/>
            <w:vAlign w:val="center"/>
          </w:tcPr>
          <w:p w14:paraId="6D6F03F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网络流容量/拥塞</w:t>
            </w:r>
          </w:p>
        </w:tc>
        <w:tc>
          <w:tcPr>
            <w:tcW w:w="2268" w:type="dxa"/>
            <w:vAlign w:val="center"/>
          </w:tcPr>
          <w:p w14:paraId="09414C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congestion map、evaluate</w:t>
            </w:r>
          </w:p>
        </w:tc>
        <w:tc>
          <w:tcPr>
            <w:tcW w:w="2268" w:type="dxa"/>
            <w:vAlign w:val="center"/>
          </w:tcPr>
          <w:p w14:paraId="0184C8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拥塞峰值、拥挤网格数</w:t>
            </w:r>
          </w:p>
        </w:tc>
        <w:tc>
          <w:tcPr>
            <w:tcW w:w="2268" w:type="dxa"/>
            <w:vAlign w:val="center"/>
          </w:tcPr>
          <w:p w14:paraId="6A59DF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统计通道占用并识别拥塞热点</w:t>
            </w:r>
          </w:p>
        </w:tc>
      </w:tr>
      <w:tr w14:paraId="0DED5A28">
        <w:trPr>
          <w:jc w:val="center"/>
        </w:trPr>
        <w:tc>
          <w:tcPr>
            <w:tcW w:w="2268" w:type="dxa"/>
            <w:vAlign w:val="center"/>
          </w:tcPr>
          <w:p w14:paraId="09124A4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蚁群信息素/拆线重布</w:t>
            </w:r>
          </w:p>
        </w:tc>
        <w:tc>
          <w:tcPr>
            <w:tcW w:w="2268" w:type="dxa"/>
            <w:vAlign w:val="center"/>
          </w:tcPr>
          <w:p w14:paraId="5ACB88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route_all_congestion_aware</w:t>
            </w:r>
          </w:p>
        </w:tc>
        <w:tc>
          <w:tcPr>
            <w:tcW w:w="2268" w:type="dxa"/>
            <w:vAlign w:val="center"/>
          </w:tcPr>
          <w:p w14:paraId="361FEC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拥塞重布线指标</w:t>
            </w:r>
          </w:p>
        </w:tc>
        <w:tc>
          <w:tcPr>
            <w:tcW w:w="2268" w:type="dxa"/>
            <w:vAlign w:val="center"/>
          </w:tcPr>
          <w:p w14:paraId="764A7E4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用历史占用提高热点代价，引导后续路径绕行</w:t>
            </w:r>
          </w:p>
        </w:tc>
      </w:tr>
      <w:tr w14:paraId="322FFC9A">
        <w:trPr>
          <w:jc w:val="center"/>
        </w:trPr>
        <w:tc>
          <w:tcPr>
            <w:tcW w:w="2268" w:type="dxa"/>
            <w:vAlign w:val="center"/>
          </w:tcPr>
          <w:p w14:paraId="51D3782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合法化与DRC</w:t>
            </w:r>
          </w:p>
        </w:tc>
        <w:tc>
          <w:tcPr>
            <w:tcW w:w="2268" w:type="dxa"/>
            <w:vAlign w:val="center"/>
          </w:tcPr>
          <w:p w14:paraId="679161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is_valid、违规统计</w:t>
            </w:r>
          </w:p>
        </w:tc>
        <w:tc>
          <w:tcPr>
            <w:tcW w:w="2268" w:type="dxa"/>
            <w:vAlign w:val="center"/>
          </w:tcPr>
          <w:p w14:paraId="3D968F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violations字段</w:t>
            </w:r>
          </w:p>
        </w:tc>
        <w:tc>
          <w:tcPr>
            <w:tcW w:w="2268" w:type="dxa"/>
            <w:vAlign w:val="center"/>
          </w:tcPr>
          <w:p w14:paraId="25F395A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把障碍、点间距和未布通统一为合法性指标</w:t>
            </w:r>
          </w:p>
        </w:tc>
      </w:tr>
    </w:tbl>
    <w:p w14:paraId="5EE2BE9A">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6 实验结果与分析</w:t>
      </w:r>
    </w:p>
    <w:p w14:paraId="666C0541">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6.1 实验设置</w:t>
      </w:r>
    </w:p>
    <w:p w14:paraId="4199D28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实验由两部分组成。第一部分为五组参数化仿真实验，依据开题报告和阶段性报告确定的研究方向，结合金手指制造资料、PCB可测性设计资料以及相关文献中的高密度、障碍、拥塞和面积受限场景构造，用于验证算法在可控约束条件下的基本性能[13-23]。第二部分为公开EDA案例化验证，脚本从公开KiCad工程、Gerber层文件和Excellon/DRL钻孔文件中抽取连接器候选、端子位置、板框边界及制造文件信息，并将其转换为C++程序可直接读取的CSV输入。两类实验均由同一布点布线程序生成指标和可视化结果，未手工调整输出数据。</w:t>
      </w:r>
    </w:p>
    <w:p w14:paraId="62ABA263">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6-1 参数化实验案例设置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964"/>
        <w:gridCol w:w="1134"/>
        <w:gridCol w:w="1134"/>
        <w:gridCol w:w="1134"/>
        <w:gridCol w:w="2835"/>
      </w:tblGrid>
      <w:tr w14:paraId="5949ABA1">
        <w:trPr>
          <w:tblHeader/>
          <w:jc w:val="center"/>
        </w:trPr>
        <w:tc>
          <w:tcPr>
            <w:tcW w:w="1474" w:type="dxa"/>
            <w:shd w:val="clear" w:color="auto" w:fill="EAF2F8"/>
            <w:vAlign w:val="center"/>
          </w:tcPr>
          <w:p w14:paraId="2382CB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964" w:type="dxa"/>
            <w:shd w:val="clear" w:color="auto" w:fill="EAF2F8"/>
            <w:vAlign w:val="center"/>
          </w:tcPr>
          <w:p w14:paraId="19E3AB7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引脚数</w:t>
            </w:r>
          </w:p>
        </w:tc>
        <w:tc>
          <w:tcPr>
            <w:tcW w:w="1134" w:type="dxa"/>
            <w:shd w:val="clear" w:color="auto" w:fill="EAF2F8"/>
            <w:vAlign w:val="center"/>
          </w:tcPr>
          <w:p w14:paraId="2DA682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宽度/mm</w:t>
            </w:r>
          </w:p>
        </w:tc>
        <w:tc>
          <w:tcPr>
            <w:tcW w:w="1134" w:type="dxa"/>
            <w:shd w:val="clear" w:color="auto" w:fill="EAF2F8"/>
            <w:vAlign w:val="center"/>
          </w:tcPr>
          <w:p w14:paraId="2C4A3E9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高度/mm</w:t>
            </w:r>
          </w:p>
        </w:tc>
        <w:tc>
          <w:tcPr>
            <w:tcW w:w="1134" w:type="dxa"/>
            <w:shd w:val="clear" w:color="auto" w:fill="EAF2F8"/>
            <w:vAlign w:val="center"/>
          </w:tcPr>
          <w:p w14:paraId="551723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间距/mm</w:t>
            </w:r>
          </w:p>
        </w:tc>
        <w:tc>
          <w:tcPr>
            <w:tcW w:w="2835" w:type="dxa"/>
            <w:shd w:val="clear" w:color="auto" w:fill="EAF2F8"/>
            <w:vAlign w:val="center"/>
          </w:tcPr>
          <w:p w14:paraId="745D93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障碍设置</w:t>
            </w:r>
          </w:p>
        </w:tc>
      </w:tr>
      <w:tr w14:paraId="6A86AE1E">
        <w:trPr>
          <w:jc w:val="center"/>
        </w:trPr>
        <w:tc>
          <w:tcPr>
            <w:tcW w:w="1474" w:type="dxa"/>
            <w:vAlign w:val="center"/>
          </w:tcPr>
          <w:p w14:paraId="25910AF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964" w:type="dxa"/>
            <w:vAlign w:val="center"/>
          </w:tcPr>
          <w:p w14:paraId="0D40C1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w:t>
            </w:r>
          </w:p>
        </w:tc>
        <w:tc>
          <w:tcPr>
            <w:tcW w:w="1134" w:type="dxa"/>
            <w:vAlign w:val="center"/>
          </w:tcPr>
          <w:p w14:paraId="301A66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w:t>
            </w:r>
          </w:p>
        </w:tc>
        <w:tc>
          <w:tcPr>
            <w:tcW w:w="1134" w:type="dxa"/>
            <w:vAlign w:val="center"/>
          </w:tcPr>
          <w:p w14:paraId="5DC4B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42</w:t>
            </w:r>
          </w:p>
        </w:tc>
        <w:tc>
          <w:tcPr>
            <w:tcW w:w="1134" w:type="dxa"/>
            <w:vAlign w:val="center"/>
          </w:tcPr>
          <w:p w14:paraId="7D9B526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1.27</w:t>
            </w:r>
          </w:p>
        </w:tc>
        <w:tc>
          <w:tcPr>
            <w:tcW w:w="2835" w:type="dxa"/>
            <w:vAlign w:val="center"/>
          </w:tcPr>
          <w:p w14:paraId="29F7F5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416776A">
        <w:trPr>
          <w:jc w:val="center"/>
        </w:trPr>
        <w:tc>
          <w:tcPr>
            <w:tcW w:w="1474" w:type="dxa"/>
            <w:vAlign w:val="center"/>
          </w:tcPr>
          <w:p w14:paraId="1BE8FC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964" w:type="dxa"/>
            <w:vAlign w:val="center"/>
          </w:tcPr>
          <w:p w14:paraId="731F5F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80</w:t>
            </w:r>
          </w:p>
        </w:tc>
        <w:tc>
          <w:tcPr>
            <w:tcW w:w="1134" w:type="dxa"/>
            <w:vAlign w:val="center"/>
          </w:tcPr>
          <w:p w14:paraId="47F0D00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42B08BD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w:t>
            </w:r>
          </w:p>
        </w:tc>
        <w:tc>
          <w:tcPr>
            <w:tcW w:w="1134" w:type="dxa"/>
            <w:vAlign w:val="center"/>
          </w:tcPr>
          <w:p w14:paraId="72C5A1E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0.8</w:t>
            </w:r>
          </w:p>
        </w:tc>
        <w:tc>
          <w:tcPr>
            <w:tcW w:w="2835" w:type="dxa"/>
            <w:vAlign w:val="center"/>
          </w:tcPr>
          <w:p w14:paraId="3020301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498D0896">
        <w:trPr>
          <w:jc w:val="center"/>
        </w:trPr>
        <w:tc>
          <w:tcPr>
            <w:tcW w:w="1474" w:type="dxa"/>
            <w:vAlign w:val="center"/>
          </w:tcPr>
          <w:p w14:paraId="3D6BE0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964" w:type="dxa"/>
            <w:vAlign w:val="center"/>
          </w:tcPr>
          <w:p w14:paraId="552B9E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120</w:t>
            </w:r>
          </w:p>
        </w:tc>
        <w:tc>
          <w:tcPr>
            <w:tcW w:w="1134" w:type="dxa"/>
            <w:vAlign w:val="center"/>
          </w:tcPr>
          <w:p w14:paraId="225B73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110</w:t>
            </w:r>
          </w:p>
        </w:tc>
        <w:tc>
          <w:tcPr>
            <w:tcW w:w="1134" w:type="dxa"/>
            <w:vAlign w:val="center"/>
          </w:tcPr>
          <w:p w14:paraId="6006D47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54</w:t>
            </w:r>
          </w:p>
        </w:tc>
        <w:tc>
          <w:tcPr>
            <w:tcW w:w="1134" w:type="dxa"/>
            <w:vAlign w:val="center"/>
          </w:tcPr>
          <w:p w14:paraId="1BB787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3E9F09C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none</w:t>
            </w:r>
          </w:p>
        </w:tc>
      </w:tr>
      <w:tr w14:paraId="723758F2">
        <w:trPr>
          <w:jc w:val="center"/>
        </w:trPr>
        <w:tc>
          <w:tcPr>
            <w:tcW w:w="1474" w:type="dxa"/>
            <w:vAlign w:val="center"/>
          </w:tcPr>
          <w:p w14:paraId="7CC0ED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964" w:type="dxa"/>
            <w:vAlign w:val="center"/>
          </w:tcPr>
          <w:p w14:paraId="7B35EBE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96</w:t>
            </w:r>
          </w:p>
        </w:tc>
        <w:tc>
          <w:tcPr>
            <w:tcW w:w="1134" w:type="dxa"/>
            <w:vAlign w:val="center"/>
          </w:tcPr>
          <w:p w14:paraId="6872E4D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w:t>
            </w:r>
          </w:p>
        </w:tc>
        <w:tc>
          <w:tcPr>
            <w:tcW w:w="1134" w:type="dxa"/>
            <w:vAlign w:val="center"/>
          </w:tcPr>
          <w:p w14:paraId="3A5B4CA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w:t>
            </w:r>
          </w:p>
        </w:tc>
        <w:tc>
          <w:tcPr>
            <w:tcW w:w="1134" w:type="dxa"/>
            <w:vAlign w:val="center"/>
          </w:tcPr>
          <w:p w14:paraId="2B33CA3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0.75</w:t>
            </w:r>
          </w:p>
        </w:tc>
        <w:tc>
          <w:tcPr>
            <w:tcW w:w="2835" w:type="dxa"/>
            <w:vAlign w:val="center"/>
          </w:tcPr>
          <w:p w14:paraId="3797076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36:13:48:28;66:18:78:34</w:t>
            </w:r>
          </w:p>
        </w:tc>
      </w:tr>
      <w:tr w14:paraId="1CCEF58F">
        <w:trPr>
          <w:jc w:val="center"/>
        </w:trPr>
        <w:tc>
          <w:tcPr>
            <w:tcW w:w="1474" w:type="dxa"/>
            <w:vAlign w:val="center"/>
          </w:tcPr>
          <w:p w14:paraId="6F35A8C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964" w:type="dxa"/>
            <w:vAlign w:val="center"/>
          </w:tcPr>
          <w:p w14:paraId="1F95D8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w:t>
            </w:r>
          </w:p>
        </w:tc>
        <w:tc>
          <w:tcPr>
            <w:tcW w:w="1134" w:type="dxa"/>
            <w:vAlign w:val="center"/>
          </w:tcPr>
          <w:p w14:paraId="138C126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82</w:t>
            </w:r>
          </w:p>
        </w:tc>
        <w:tc>
          <w:tcPr>
            <w:tcW w:w="1134" w:type="dxa"/>
            <w:vAlign w:val="center"/>
          </w:tcPr>
          <w:p w14:paraId="556AB1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w:t>
            </w:r>
          </w:p>
        </w:tc>
        <w:tc>
          <w:tcPr>
            <w:tcW w:w="1134" w:type="dxa"/>
            <w:vAlign w:val="center"/>
          </w:tcPr>
          <w:p w14:paraId="7E1F949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0.65</w:t>
            </w:r>
          </w:p>
        </w:tc>
        <w:tc>
          <w:tcPr>
            <w:tcW w:w="2835" w:type="dxa"/>
            <w:vAlign w:val="center"/>
          </w:tcPr>
          <w:p w14:paraId="06CB1E4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30:12:42:23</w:t>
            </w:r>
          </w:p>
        </w:tc>
      </w:tr>
    </w:tbl>
    <w:p w14:paraId="35BFF4DA">
      <w:pPr>
        <w:spacing w:lineRule="exact" w:line="400" w:before="0" w:after="120"/>
        <w:rPr>
          <w:color w:val="000000" w:themeColor="text1"/>
          <w14:textFill>
            <w14:solidFill>
              <w14:schemeClr w14:val="tx1"/>
            </w14:solidFill>
          </w14:textFill>
        </w:rPr>
      </w:pPr>
    </w:p>
    <w:p w14:paraId="6598E579">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6.2 指标结果</w:t>
      </w:r>
    </w:p>
    <w:p w14:paraId="30B7AF7F">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表 6-2 不同算法实验结果对比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361"/>
        <w:gridCol w:w="1020"/>
        <w:gridCol w:w="1020"/>
        <w:gridCol w:w="1134"/>
        <w:gridCol w:w="1020"/>
        <w:gridCol w:w="1020"/>
        <w:gridCol w:w="794"/>
      </w:tblGrid>
      <w:tr w14:paraId="6CAFDAA0">
        <w:trPr>
          <w:tblHeader/>
          <w:jc w:val="center"/>
        </w:trPr>
        <w:tc>
          <w:tcPr>
            <w:tcW w:w="1134" w:type="dxa"/>
            <w:shd w:val="clear" w:color="auto" w:fill="EAF2F8"/>
            <w:vAlign w:val="center"/>
          </w:tcPr>
          <w:p w14:paraId="25DE457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案例</w:t>
            </w:r>
          </w:p>
        </w:tc>
        <w:tc>
          <w:tcPr>
            <w:tcW w:w="1361" w:type="dxa"/>
            <w:shd w:val="clear" w:color="auto" w:fill="EAF2F8"/>
            <w:vAlign w:val="center"/>
          </w:tcPr>
          <w:p w14:paraId="1BC122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020" w:type="dxa"/>
            <w:shd w:val="clear" w:color="auto" w:fill="EAF2F8"/>
            <w:vAlign w:val="center"/>
          </w:tcPr>
          <w:p w14:paraId="2B26E3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布通/%</w:t>
            </w:r>
          </w:p>
        </w:tc>
        <w:tc>
          <w:tcPr>
            <w:tcW w:w="1020" w:type="dxa"/>
            <w:shd w:val="clear" w:color="auto" w:fill="EAF2F8"/>
            <w:vAlign w:val="center"/>
          </w:tcPr>
          <w:p w14:paraId="5D9F38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面积/%</w:t>
            </w:r>
          </w:p>
        </w:tc>
        <w:tc>
          <w:tcPr>
            <w:tcW w:w="1134" w:type="dxa"/>
            <w:shd w:val="clear" w:color="auto" w:fill="EAF2F8"/>
            <w:vAlign w:val="center"/>
          </w:tcPr>
          <w:p w14:paraId="3B33CF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线长/mm</w:t>
            </w:r>
          </w:p>
        </w:tc>
        <w:tc>
          <w:tcPr>
            <w:tcW w:w="1020" w:type="dxa"/>
            <w:shd w:val="clear" w:color="auto" w:fill="EAF2F8"/>
            <w:vAlign w:val="center"/>
          </w:tcPr>
          <w:p w14:paraId="465E4D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拥塞峰值</w:t>
            </w:r>
          </w:p>
        </w:tc>
        <w:tc>
          <w:tcPr>
            <w:tcW w:w="1020" w:type="dxa"/>
            <w:shd w:val="clear" w:color="auto" w:fill="EAF2F8"/>
            <w:vAlign w:val="center"/>
          </w:tcPr>
          <w:p w14:paraId="5C6A607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拥挤网格</w:t>
            </w:r>
          </w:p>
        </w:tc>
        <w:tc>
          <w:tcPr>
            <w:tcW w:w="794" w:type="dxa"/>
            <w:shd w:val="clear" w:color="auto" w:fill="EAF2F8"/>
            <w:vAlign w:val="center"/>
          </w:tcPr>
          <w:p w14:paraId="6FE478A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违规</w:t>
            </w:r>
          </w:p>
        </w:tc>
      </w:tr>
      <w:tr w14:paraId="08DFA2BC">
        <w:trPr>
          <w:jc w:val="center"/>
        </w:trPr>
        <w:tc>
          <w:tcPr>
            <w:tcW w:w="1134" w:type="dxa"/>
            <w:vAlign w:val="center"/>
          </w:tcPr>
          <w:p w14:paraId="26519E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C6F03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6C8E10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B8413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48.15</w:t>
            </w:r>
          </w:p>
        </w:tc>
        <w:tc>
          <w:tcPr>
            <w:tcW w:w="1134" w:type="dxa"/>
            <w:vAlign w:val="center"/>
          </w:tcPr>
          <w:p w14:paraId="4F3A89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816.00</w:t>
            </w:r>
          </w:p>
        </w:tc>
        <w:tc>
          <w:tcPr>
            <w:tcW w:w="1020" w:type="dxa"/>
            <w:vAlign w:val="center"/>
          </w:tcPr>
          <w:p w14:paraId="3D429C4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w:t>
            </w:r>
          </w:p>
        </w:tc>
        <w:tc>
          <w:tcPr>
            <w:tcW w:w="1020" w:type="dxa"/>
            <w:vAlign w:val="center"/>
          </w:tcPr>
          <w:p w14:paraId="4A416D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c>
          <w:tcPr>
            <w:tcW w:w="794" w:type="dxa"/>
            <w:vAlign w:val="center"/>
          </w:tcPr>
          <w:p w14:paraId="5977F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2CD9C72C">
        <w:trPr>
          <w:jc w:val="center"/>
        </w:trPr>
        <w:tc>
          <w:tcPr>
            <w:tcW w:w="1134" w:type="dxa"/>
            <w:vAlign w:val="center"/>
          </w:tcPr>
          <w:p w14:paraId="18F0989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361847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3CA49C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ECC2F5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9.05</w:t>
            </w:r>
          </w:p>
        </w:tc>
        <w:tc>
          <w:tcPr>
            <w:tcW w:w="1134" w:type="dxa"/>
            <w:vAlign w:val="center"/>
          </w:tcPr>
          <w:p w14:paraId="7B9E63D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345.00</w:t>
            </w:r>
          </w:p>
        </w:tc>
        <w:tc>
          <w:tcPr>
            <w:tcW w:w="1020" w:type="dxa"/>
            <w:vAlign w:val="center"/>
          </w:tcPr>
          <w:p w14:paraId="16398F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154E34E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64</w:t>
            </w:r>
          </w:p>
        </w:tc>
        <w:tc>
          <w:tcPr>
            <w:tcW w:w="794" w:type="dxa"/>
            <w:vAlign w:val="center"/>
          </w:tcPr>
          <w:p w14:paraId="25F2ED9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3EE70600">
        <w:trPr>
          <w:jc w:val="center"/>
        </w:trPr>
        <w:tc>
          <w:tcPr>
            <w:tcW w:w="1134" w:type="dxa"/>
            <w:vAlign w:val="center"/>
          </w:tcPr>
          <w:p w14:paraId="722FCD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607DC3D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ABB70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900AE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19833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323.00</w:t>
            </w:r>
          </w:p>
        </w:tc>
        <w:tc>
          <w:tcPr>
            <w:tcW w:w="1020" w:type="dxa"/>
            <w:vAlign w:val="center"/>
          </w:tcPr>
          <w:p w14:paraId="264AD7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374D5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7E9E81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CE0B6D4">
        <w:trPr>
          <w:jc w:val="center"/>
        </w:trPr>
        <w:tc>
          <w:tcPr>
            <w:tcW w:w="1134" w:type="dxa"/>
            <w:vAlign w:val="center"/>
          </w:tcPr>
          <w:p w14:paraId="7B07CC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case_01</w:t>
            </w:r>
          </w:p>
        </w:tc>
        <w:tc>
          <w:tcPr>
            <w:tcW w:w="1361" w:type="dxa"/>
            <w:vAlign w:val="center"/>
          </w:tcPr>
          <w:p w14:paraId="08B7C1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7C653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BDB95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8.89</w:t>
            </w:r>
          </w:p>
        </w:tc>
        <w:tc>
          <w:tcPr>
            <w:tcW w:w="1134" w:type="dxa"/>
            <w:vAlign w:val="center"/>
          </w:tcPr>
          <w:p w14:paraId="1945BFA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327.00</w:t>
            </w:r>
          </w:p>
        </w:tc>
        <w:tc>
          <w:tcPr>
            <w:tcW w:w="1020" w:type="dxa"/>
            <w:vAlign w:val="center"/>
          </w:tcPr>
          <w:p w14:paraId="419621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06CD3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w:t>
            </w:r>
          </w:p>
        </w:tc>
        <w:tc>
          <w:tcPr>
            <w:tcW w:w="794" w:type="dxa"/>
            <w:vAlign w:val="center"/>
          </w:tcPr>
          <w:p w14:paraId="099190B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4F9600D">
        <w:trPr>
          <w:jc w:val="center"/>
        </w:trPr>
        <w:tc>
          <w:tcPr>
            <w:tcW w:w="1134" w:type="dxa"/>
            <w:vAlign w:val="center"/>
          </w:tcPr>
          <w:p w14:paraId="44EDEC0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4B363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41904E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7F29AE4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58.33</w:t>
            </w:r>
          </w:p>
        </w:tc>
        <w:tc>
          <w:tcPr>
            <w:tcW w:w="1134" w:type="dxa"/>
            <w:vAlign w:val="center"/>
          </w:tcPr>
          <w:p w14:paraId="3EE3982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1940.00</w:t>
            </w:r>
          </w:p>
        </w:tc>
        <w:tc>
          <w:tcPr>
            <w:tcW w:w="1020" w:type="dxa"/>
            <w:vAlign w:val="center"/>
          </w:tcPr>
          <w:p w14:paraId="73D6712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287259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378</w:t>
            </w:r>
          </w:p>
        </w:tc>
        <w:tc>
          <w:tcPr>
            <w:tcW w:w="794" w:type="dxa"/>
            <w:vAlign w:val="center"/>
          </w:tcPr>
          <w:p w14:paraId="559B58F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055530E">
        <w:trPr>
          <w:jc w:val="center"/>
        </w:trPr>
        <w:tc>
          <w:tcPr>
            <w:tcW w:w="1134" w:type="dxa"/>
            <w:vAlign w:val="center"/>
          </w:tcPr>
          <w:p w14:paraId="6C03CA8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78BD0C8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55FC5D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30487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12.15</w:t>
            </w:r>
          </w:p>
        </w:tc>
        <w:tc>
          <w:tcPr>
            <w:tcW w:w="1134" w:type="dxa"/>
            <w:vAlign w:val="center"/>
          </w:tcPr>
          <w:p w14:paraId="29A1BB9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774.00</w:t>
            </w:r>
          </w:p>
        </w:tc>
        <w:tc>
          <w:tcPr>
            <w:tcW w:w="1020" w:type="dxa"/>
            <w:vAlign w:val="center"/>
          </w:tcPr>
          <w:p w14:paraId="7EF0E5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4A8ED3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237</w:t>
            </w:r>
          </w:p>
        </w:tc>
        <w:tc>
          <w:tcPr>
            <w:tcW w:w="794" w:type="dxa"/>
            <w:vAlign w:val="center"/>
          </w:tcPr>
          <w:p w14:paraId="674CC9D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06A8B2A">
        <w:trPr>
          <w:jc w:val="center"/>
        </w:trPr>
        <w:tc>
          <w:tcPr>
            <w:tcW w:w="1134" w:type="dxa"/>
            <w:vAlign w:val="center"/>
          </w:tcPr>
          <w:p w14:paraId="3FA59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1DADE32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188A049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3FB7EF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466DB0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723.00</w:t>
            </w:r>
          </w:p>
        </w:tc>
        <w:tc>
          <w:tcPr>
            <w:tcW w:w="1020" w:type="dxa"/>
            <w:vAlign w:val="center"/>
          </w:tcPr>
          <w:p w14:paraId="6BCF0E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EEDCF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255</w:t>
            </w:r>
          </w:p>
        </w:tc>
        <w:tc>
          <w:tcPr>
            <w:tcW w:w="794" w:type="dxa"/>
            <w:vAlign w:val="center"/>
          </w:tcPr>
          <w:p w14:paraId="66F9316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35BCB8F">
        <w:trPr>
          <w:jc w:val="center"/>
        </w:trPr>
        <w:tc>
          <w:tcPr>
            <w:tcW w:w="1134" w:type="dxa"/>
            <w:vAlign w:val="center"/>
          </w:tcPr>
          <w:p w14:paraId="4CE166C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case_02</w:t>
            </w:r>
          </w:p>
        </w:tc>
        <w:tc>
          <w:tcPr>
            <w:tcW w:w="1361" w:type="dxa"/>
            <w:vAlign w:val="center"/>
          </w:tcPr>
          <w:p w14:paraId="00353B4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542C37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EB1D0F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12.85</w:t>
            </w:r>
          </w:p>
        </w:tc>
        <w:tc>
          <w:tcPr>
            <w:tcW w:w="1134" w:type="dxa"/>
            <w:vAlign w:val="center"/>
          </w:tcPr>
          <w:p w14:paraId="15A8025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763.00</w:t>
            </w:r>
          </w:p>
        </w:tc>
        <w:tc>
          <w:tcPr>
            <w:tcW w:w="1020" w:type="dxa"/>
            <w:vAlign w:val="center"/>
          </w:tcPr>
          <w:p w14:paraId="7471E75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15220C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185</w:t>
            </w:r>
          </w:p>
        </w:tc>
        <w:tc>
          <w:tcPr>
            <w:tcW w:w="794" w:type="dxa"/>
            <w:vAlign w:val="center"/>
          </w:tcPr>
          <w:p w14:paraId="67A84E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F2F3FD1">
        <w:trPr>
          <w:jc w:val="center"/>
        </w:trPr>
        <w:tc>
          <w:tcPr>
            <w:tcW w:w="1134" w:type="dxa"/>
            <w:vAlign w:val="center"/>
          </w:tcPr>
          <w:p w14:paraId="7A177EB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781E908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02EA5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98D23B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63.00</w:t>
            </w:r>
          </w:p>
        </w:tc>
        <w:tc>
          <w:tcPr>
            <w:tcW w:w="1134" w:type="dxa"/>
            <w:vAlign w:val="center"/>
          </w:tcPr>
          <w:p w14:paraId="0784CEB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3240.00</w:t>
            </w:r>
          </w:p>
        </w:tc>
        <w:tc>
          <w:tcPr>
            <w:tcW w:w="1020" w:type="dxa"/>
            <w:vAlign w:val="center"/>
          </w:tcPr>
          <w:p w14:paraId="1A6B7E4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w:t>
            </w:r>
          </w:p>
        </w:tc>
        <w:tc>
          <w:tcPr>
            <w:tcW w:w="1020" w:type="dxa"/>
            <w:vAlign w:val="center"/>
          </w:tcPr>
          <w:p w14:paraId="403449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1076</w:t>
            </w:r>
          </w:p>
        </w:tc>
        <w:tc>
          <w:tcPr>
            <w:tcW w:w="794" w:type="dxa"/>
            <w:vAlign w:val="center"/>
          </w:tcPr>
          <w:p w14:paraId="1AAC765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9890F0E">
        <w:trPr>
          <w:jc w:val="center"/>
        </w:trPr>
        <w:tc>
          <w:tcPr>
            <w:tcW w:w="1134" w:type="dxa"/>
            <w:vAlign w:val="center"/>
          </w:tcPr>
          <w:p w14:paraId="3602937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1131C80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595B865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2580182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15.32</w:t>
            </w:r>
          </w:p>
        </w:tc>
        <w:tc>
          <w:tcPr>
            <w:tcW w:w="1134" w:type="dxa"/>
            <w:vAlign w:val="center"/>
          </w:tcPr>
          <w:p w14:paraId="529A105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1247.00</w:t>
            </w:r>
          </w:p>
        </w:tc>
        <w:tc>
          <w:tcPr>
            <w:tcW w:w="1020" w:type="dxa"/>
            <w:vAlign w:val="center"/>
          </w:tcPr>
          <w:p w14:paraId="741704E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578239F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381</w:t>
            </w:r>
          </w:p>
        </w:tc>
        <w:tc>
          <w:tcPr>
            <w:tcW w:w="794" w:type="dxa"/>
            <w:vAlign w:val="center"/>
          </w:tcPr>
          <w:p w14:paraId="43B725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500F686">
        <w:trPr>
          <w:jc w:val="center"/>
        </w:trPr>
        <w:tc>
          <w:tcPr>
            <w:tcW w:w="1134" w:type="dxa"/>
            <w:vAlign w:val="center"/>
          </w:tcPr>
          <w:p w14:paraId="213A88B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006FFA7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061D6E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36E84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00109C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1128.00</w:t>
            </w:r>
          </w:p>
        </w:tc>
        <w:tc>
          <w:tcPr>
            <w:tcW w:w="1020" w:type="dxa"/>
            <w:vAlign w:val="center"/>
          </w:tcPr>
          <w:p w14:paraId="7C5EC1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24C25D1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390</w:t>
            </w:r>
          </w:p>
        </w:tc>
        <w:tc>
          <w:tcPr>
            <w:tcW w:w="794" w:type="dxa"/>
            <w:vAlign w:val="center"/>
          </w:tcPr>
          <w:p w14:paraId="1A34CBC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143E478B">
        <w:trPr>
          <w:jc w:val="center"/>
        </w:trPr>
        <w:tc>
          <w:tcPr>
            <w:tcW w:w="1134" w:type="dxa"/>
            <w:vAlign w:val="center"/>
          </w:tcPr>
          <w:p w14:paraId="1BE7C19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case_03</w:t>
            </w:r>
          </w:p>
        </w:tc>
        <w:tc>
          <w:tcPr>
            <w:tcW w:w="1361" w:type="dxa"/>
            <w:vAlign w:val="center"/>
          </w:tcPr>
          <w:p w14:paraId="60EF9AF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186F92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F95DA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14.98</w:t>
            </w:r>
          </w:p>
        </w:tc>
        <w:tc>
          <w:tcPr>
            <w:tcW w:w="1134" w:type="dxa"/>
            <w:vAlign w:val="center"/>
          </w:tcPr>
          <w:p w14:paraId="1DD23A9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1210.00</w:t>
            </w:r>
          </w:p>
        </w:tc>
        <w:tc>
          <w:tcPr>
            <w:tcW w:w="1020" w:type="dxa"/>
            <w:vAlign w:val="center"/>
          </w:tcPr>
          <w:p w14:paraId="1A074B2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D45F64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416</w:t>
            </w:r>
          </w:p>
        </w:tc>
        <w:tc>
          <w:tcPr>
            <w:tcW w:w="794" w:type="dxa"/>
            <w:vAlign w:val="center"/>
          </w:tcPr>
          <w:p w14:paraId="3A72D2B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5628E7C1">
        <w:trPr>
          <w:jc w:val="center"/>
        </w:trPr>
        <w:tc>
          <w:tcPr>
            <w:tcW w:w="1134" w:type="dxa"/>
            <w:vAlign w:val="center"/>
          </w:tcPr>
          <w:p w14:paraId="4541D5D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02F48A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563501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84.38</w:t>
            </w:r>
          </w:p>
        </w:tc>
        <w:tc>
          <w:tcPr>
            <w:tcW w:w="1020" w:type="dxa"/>
            <w:vAlign w:val="center"/>
          </w:tcPr>
          <w:p w14:paraId="135EBB8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60.64</w:t>
            </w:r>
          </w:p>
        </w:tc>
        <w:tc>
          <w:tcPr>
            <w:tcW w:w="1134" w:type="dxa"/>
            <w:vAlign w:val="center"/>
          </w:tcPr>
          <w:p w14:paraId="500AE40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2249.00</w:t>
            </w:r>
          </w:p>
        </w:tc>
        <w:tc>
          <w:tcPr>
            <w:tcW w:w="1020" w:type="dxa"/>
            <w:vAlign w:val="center"/>
          </w:tcPr>
          <w:p w14:paraId="41DD5E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w:t>
            </w:r>
          </w:p>
        </w:tc>
        <w:tc>
          <w:tcPr>
            <w:tcW w:w="1020" w:type="dxa"/>
            <w:vAlign w:val="center"/>
          </w:tcPr>
          <w:p w14:paraId="00F14A1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531</w:t>
            </w:r>
          </w:p>
        </w:tc>
        <w:tc>
          <w:tcPr>
            <w:tcW w:w="794" w:type="dxa"/>
            <w:vAlign w:val="center"/>
          </w:tcPr>
          <w:p w14:paraId="04E6ED0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w:t>
            </w:r>
          </w:p>
        </w:tc>
      </w:tr>
      <w:tr w14:paraId="29E37603">
        <w:trPr>
          <w:jc w:val="center"/>
        </w:trPr>
        <w:tc>
          <w:tcPr>
            <w:tcW w:w="1134" w:type="dxa"/>
            <w:vAlign w:val="center"/>
          </w:tcPr>
          <w:p w14:paraId="39FB89D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4B861AF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09E52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52408CC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14.84</w:t>
            </w:r>
          </w:p>
        </w:tc>
        <w:tc>
          <w:tcPr>
            <w:tcW w:w="1134" w:type="dxa"/>
            <w:vAlign w:val="center"/>
          </w:tcPr>
          <w:p w14:paraId="008A777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972.00</w:t>
            </w:r>
          </w:p>
        </w:tc>
        <w:tc>
          <w:tcPr>
            <w:tcW w:w="1020" w:type="dxa"/>
            <w:vAlign w:val="center"/>
          </w:tcPr>
          <w:p w14:paraId="7446B8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7431CC1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318</w:t>
            </w:r>
          </w:p>
        </w:tc>
        <w:tc>
          <w:tcPr>
            <w:tcW w:w="794" w:type="dxa"/>
            <w:vAlign w:val="center"/>
          </w:tcPr>
          <w:p w14:paraId="064B83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01F402CC">
        <w:trPr>
          <w:jc w:val="center"/>
        </w:trPr>
        <w:tc>
          <w:tcPr>
            <w:tcW w:w="1134" w:type="dxa"/>
            <w:vAlign w:val="center"/>
          </w:tcPr>
          <w:p w14:paraId="7EEC668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1F12E8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52150A2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3A16F76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75B5FE1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858.00</w:t>
            </w:r>
          </w:p>
        </w:tc>
        <w:tc>
          <w:tcPr>
            <w:tcW w:w="1020" w:type="dxa"/>
            <w:vAlign w:val="center"/>
          </w:tcPr>
          <w:p w14:paraId="62F3412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71526F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w:t>
            </w:r>
          </w:p>
        </w:tc>
        <w:tc>
          <w:tcPr>
            <w:tcW w:w="794" w:type="dxa"/>
            <w:vAlign w:val="center"/>
          </w:tcPr>
          <w:p w14:paraId="1A8553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8F833EF">
        <w:trPr>
          <w:jc w:val="center"/>
        </w:trPr>
        <w:tc>
          <w:tcPr>
            <w:tcW w:w="1134" w:type="dxa"/>
            <w:vAlign w:val="center"/>
          </w:tcPr>
          <w:p w14:paraId="5F5B47C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case_04</w:t>
            </w:r>
          </w:p>
        </w:tc>
        <w:tc>
          <w:tcPr>
            <w:tcW w:w="1361" w:type="dxa"/>
            <w:vAlign w:val="center"/>
          </w:tcPr>
          <w:p w14:paraId="228CDD8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CB7970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655EDF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11.72</w:t>
            </w:r>
          </w:p>
        </w:tc>
        <w:tc>
          <w:tcPr>
            <w:tcW w:w="1134" w:type="dxa"/>
            <w:vAlign w:val="center"/>
          </w:tcPr>
          <w:p w14:paraId="6C10129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908.00</w:t>
            </w:r>
          </w:p>
        </w:tc>
        <w:tc>
          <w:tcPr>
            <w:tcW w:w="1020" w:type="dxa"/>
            <w:vAlign w:val="center"/>
          </w:tcPr>
          <w:p w14:paraId="140204E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38E4CA4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244</w:t>
            </w:r>
          </w:p>
        </w:tc>
        <w:tc>
          <w:tcPr>
            <w:tcW w:w="794" w:type="dxa"/>
            <w:vAlign w:val="center"/>
          </w:tcPr>
          <w:p w14:paraId="1DFACF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76FE4349">
        <w:trPr>
          <w:jc w:val="center"/>
        </w:trPr>
        <w:tc>
          <w:tcPr>
            <w:tcW w:w="1134" w:type="dxa"/>
            <w:vAlign w:val="center"/>
          </w:tcPr>
          <w:p w14:paraId="111032D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417DB49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020" w:type="dxa"/>
            <w:vAlign w:val="center"/>
          </w:tcPr>
          <w:p w14:paraId="7454960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89.00</w:t>
            </w:r>
          </w:p>
        </w:tc>
        <w:tc>
          <w:tcPr>
            <w:tcW w:w="1020" w:type="dxa"/>
            <w:vAlign w:val="center"/>
          </w:tcPr>
          <w:p w14:paraId="7456200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65.81</w:t>
            </w:r>
          </w:p>
        </w:tc>
        <w:tc>
          <w:tcPr>
            <w:tcW w:w="1134" w:type="dxa"/>
            <w:vAlign w:val="center"/>
          </w:tcPr>
          <w:p w14:paraId="675C25E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1827.00</w:t>
            </w:r>
          </w:p>
        </w:tc>
        <w:tc>
          <w:tcPr>
            <w:tcW w:w="1020" w:type="dxa"/>
            <w:vAlign w:val="center"/>
          </w:tcPr>
          <w:p w14:paraId="58148B6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6</w:t>
            </w:r>
          </w:p>
        </w:tc>
        <w:tc>
          <w:tcPr>
            <w:tcW w:w="1020" w:type="dxa"/>
            <w:vAlign w:val="center"/>
          </w:tcPr>
          <w:p w14:paraId="0FB010A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587</w:t>
            </w:r>
          </w:p>
        </w:tc>
        <w:tc>
          <w:tcPr>
            <w:tcW w:w="794" w:type="dxa"/>
            <w:vAlign w:val="center"/>
          </w:tcPr>
          <w:p w14:paraId="7C118E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11</w:t>
            </w:r>
          </w:p>
        </w:tc>
      </w:tr>
      <w:tr w14:paraId="2B7F0B77">
        <w:trPr>
          <w:jc w:val="center"/>
        </w:trPr>
        <w:tc>
          <w:tcPr>
            <w:tcW w:w="1134" w:type="dxa"/>
            <w:vAlign w:val="center"/>
          </w:tcPr>
          <w:p w14:paraId="54219C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5D589A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020" w:type="dxa"/>
            <w:vAlign w:val="center"/>
          </w:tcPr>
          <w:p w14:paraId="1E3FA50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BB316A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26.12</w:t>
            </w:r>
          </w:p>
        </w:tc>
        <w:tc>
          <w:tcPr>
            <w:tcW w:w="1134" w:type="dxa"/>
            <w:vAlign w:val="center"/>
          </w:tcPr>
          <w:p w14:paraId="5ADAAC1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1059.00</w:t>
            </w:r>
          </w:p>
        </w:tc>
        <w:tc>
          <w:tcPr>
            <w:tcW w:w="1020" w:type="dxa"/>
            <w:vAlign w:val="center"/>
          </w:tcPr>
          <w:p w14:paraId="007797B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w:t>
            </w:r>
          </w:p>
        </w:tc>
        <w:tc>
          <w:tcPr>
            <w:tcW w:w="1020" w:type="dxa"/>
            <w:vAlign w:val="center"/>
          </w:tcPr>
          <w:p w14:paraId="02455C0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364</w:t>
            </w:r>
          </w:p>
        </w:tc>
        <w:tc>
          <w:tcPr>
            <w:tcW w:w="794" w:type="dxa"/>
            <w:vAlign w:val="center"/>
          </w:tcPr>
          <w:p w14:paraId="084FC0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627739FB">
        <w:trPr>
          <w:jc w:val="center"/>
        </w:trPr>
        <w:tc>
          <w:tcPr>
            <w:tcW w:w="1134" w:type="dxa"/>
            <w:vAlign w:val="center"/>
          </w:tcPr>
          <w:p w14:paraId="591E788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65BF87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020" w:type="dxa"/>
            <w:vAlign w:val="center"/>
          </w:tcPr>
          <w:p w14:paraId="05F8B43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02E52EA6">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7B9FD5B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951.00</w:t>
            </w:r>
          </w:p>
        </w:tc>
        <w:tc>
          <w:tcPr>
            <w:tcW w:w="1020" w:type="dxa"/>
            <w:vAlign w:val="center"/>
          </w:tcPr>
          <w:p w14:paraId="552CA0A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w:t>
            </w:r>
          </w:p>
        </w:tc>
        <w:tc>
          <w:tcPr>
            <w:tcW w:w="1020" w:type="dxa"/>
            <w:vAlign w:val="center"/>
          </w:tcPr>
          <w:p w14:paraId="6217477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304</w:t>
            </w:r>
          </w:p>
        </w:tc>
        <w:tc>
          <w:tcPr>
            <w:tcW w:w="794" w:type="dxa"/>
            <w:vAlign w:val="center"/>
          </w:tcPr>
          <w:p w14:paraId="57992D9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r w14:paraId="420323B5">
        <w:trPr>
          <w:jc w:val="center"/>
        </w:trPr>
        <w:tc>
          <w:tcPr>
            <w:tcW w:w="1134" w:type="dxa"/>
            <w:vAlign w:val="center"/>
          </w:tcPr>
          <w:p w14:paraId="6B2B609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case_05</w:t>
            </w:r>
          </w:p>
        </w:tc>
        <w:tc>
          <w:tcPr>
            <w:tcW w:w="1361" w:type="dxa"/>
            <w:vAlign w:val="center"/>
          </w:tcPr>
          <w:p w14:paraId="2695D15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020" w:type="dxa"/>
            <w:vAlign w:val="center"/>
          </w:tcPr>
          <w:p w14:paraId="6AFE8BC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020" w:type="dxa"/>
            <w:vAlign w:val="center"/>
          </w:tcPr>
          <w:p w14:paraId="42E9E1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24.39</w:t>
            </w:r>
          </w:p>
        </w:tc>
        <w:tc>
          <w:tcPr>
            <w:tcW w:w="1134" w:type="dxa"/>
            <w:vAlign w:val="center"/>
          </w:tcPr>
          <w:p w14:paraId="60497C7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985.00</w:t>
            </w:r>
          </w:p>
        </w:tc>
        <w:tc>
          <w:tcPr>
            <w:tcW w:w="1020" w:type="dxa"/>
            <w:vAlign w:val="center"/>
          </w:tcPr>
          <w:p w14:paraId="6E1C46F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w:t>
            </w:r>
          </w:p>
        </w:tc>
        <w:tc>
          <w:tcPr>
            <w:tcW w:w="1020" w:type="dxa"/>
            <w:vAlign w:val="center"/>
          </w:tcPr>
          <w:p w14:paraId="7687A02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337</w:t>
            </w:r>
          </w:p>
        </w:tc>
        <w:tc>
          <w:tcPr>
            <w:tcW w:w="794" w:type="dxa"/>
            <w:vAlign w:val="center"/>
          </w:tcPr>
          <w:p w14:paraId="0A5124E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w:t>
            </w:r>
          </w:p>
        </w:tc>
      </w:tr>
    </w:tbl>
    <w:p w14:paraId="71627002">
      <w:pPr>
        <w:spacing w:lineRule="exact" w:line="400" w:before="0" w:after="120"/>
        <w:rPr>
          <w:color w:val="000000" w:themeColor="text1"/>
          <w14:textFill>
            <w14:solidFill>
              <w14:schemeClr w14:val="tx1"/>
            </w14:solidFill>
          </w14:textFill>
        </w:rPr>
      </w:pPr>
    </w:p>
    <w:p w14:paraId="5023B1E9">
      <w:pPr>
        <w:spacing w:line="400" w:lineRule="exact" w:before="0" w:after="120"/>
        <w:jc w:val="both"/>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80000" cy="3145091"/>
                    </a:xfrm>
                    <a:prstGeom prst="rect">
                      <a:avLst/>
                    </a:prstGeom>
                  </pic:spPr>
                </pic:pic>
              </a:graphicData>
            </a:graphic>
          </wp:inline>
        </w:drawing>
      </w:r>
    </w:p>
    <w:p w14:paraId="34E51209">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6-1 尾板面积占比对比</w:t>
      </w:r>
    </w:p>
    <w:p w14:paraId="7ECF6810">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80000" cy="3145091"/>
                    </a:xfrm>
                    <a:prstGeom prst="rect">
                      <a:avLst/>
                    </a:prstGeom>
                  </pic:spPr>
                </pic:pic>
              </a:graphicData>
            </a:graphic>
          </wp:inline>
        </w:drawing>
      </w:r>
    </w:p>
    <w:p w14:paraId="77226B55">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6-2 总线长对比</w:t>
      </w:r>
    </w:p>
    <w:p w14:paraId="58BE7C6E">
      <w:pPr>
        <w:spacing w:line="400" w:lineRule="exact" w:before="0" w:after="120"/>
        <w:jc w:val="center"/>
        <w:rPr>
          <w:color w:val="000000" w:themeColor="text1"/>
          <w14:textFill>
            <w14:solidFill>
              <w14:schemeClr w14:val="tx1"/>
            </w14:solidFill>
          </w14:textFill>
        </w:rPr>
      </w:pPr>
      <w:r>
        <w:rPr>
          <w:b w:val="0"/>
          <w:color w:val="000000" w:themeColor="text1"/>
          <w14:textFill>
            <w14:solidFill>
              <w14:schemeClr w14:val="tx1"/>
            </w14:solidFill>
          </w14:textFill>
          <w:sz w:val="24"/>
          <w:rFonts w:eastAsia="宋体" w:ascii="Times New Roman" w:hAnsi="Times New Roman"/>
        </w:rPr>
        <w:drawing>
          <wp:inline distT="0" distB="0" distL="114300" distR="114300">
            <wp:extent cx="5579745" cy="3144520"/>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580000" cy="3145091"/>
                    </a:xfrm>
                    <a:prstGeom prst="rect">
                      <a:avLst/>
                    </a:prstGeom>
                  </pic:spPr>
                </pic:pic>
              </a:graphicData>
            </a:graphic>
          </wp:inline>
        </w:drawing>
      </w:r>
    </w:p>
    <w:p w14:paraId="3552C01A">
      <w:pPr>
        <w:spacing w:before="0" w:after="120" w:line="400" w:lineRule="exact"/>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图 6-3 拥挤网格数量对比</w:t>
      </w:r>
    </w:p>
    <w:p>
      <w:pPr>
        <w:pStyle w:val="4"/>
        <w:pageBreakBefore/>
        <w:spacing w:lineRule="exact" w:line="400" w:after="120" w:before="200"/>
        <w:ind/>
        <w:jc w:val="left"/>
      </w:pPr>
      <w:commentRangeStart w:id="1"/>
      <w:r>
        <w:rPr>
          <w:b/>
          <w:sz w:val="24"/>
          <w:rFonts w:eastAsia="宋体" w:ascii="Times New Roman" w:hAnsi="Times New Roman"/>
        </w:rPr>
        <w:t>6.3 公开EDA案例化验证</w:t>
      </w:r>
      <w:commentRangeEnd w:id="1"/>
      <w:r>
        <w:rPr>
          <w:rStyle w:val="CommentReference"/>
        </w:rPr>
        <w:commentReference w:id="1"/>
      </w:r>
    </w:p>
    <w:p>
      <w:pPr>
        <w:spacing w:lineRule="exact" w:line="400" w:after="120"/>
        <w:ind w:firstLine="420"/>
      </w:pPr>
      <w:r>
        <w:rPr>
          <w:sz w:val="24"/>
          <w:rFonts w:eastAsia="宋体" w:ascii="Times New Roman" w:hAnsi="Times New Roman"/>
        </w:rPr>
        <w:t>为进一步验证算法对公开EDA工程的适应性，本文在五组参数化仿真实验之外，选取7个公开EDA案例进行案例化验证。案例覆盖PCIe、mini-PCIe、M.2/NGFF等边缘连接器或金手指类结构；实验脚本从公开KiCad工程及其制造文件中抽取连接器候选、端子数量、Gerber/DRL文件统计和钻孔命中信息，并转换为统一的算法输入。</w:t>
      </w:r>
    </w:p>
    <w:p>
      <w:pPr>
        <w:spacing w:lineRule="exact" w:line="400" w:after="120"/>
        <w:ind/>
        <w:jc w:val="center"/>
      </w:pPr>
      <w:r>
        <w:rPr>
          <w:sz w:val="24"/>
          <w:rFonts w:eastAsia="宋体" w:ascii="Times New Roman" w:hAnsi="Times New Roman"/>
        </w:rPr>
        <w:t>表 6-3 公开EDA案例来源与解析信息</w:t>
      </w:r>
    </w:p>
    <w:tbl>
      <w:tblPr>
        <w:tblStyle w:val="33"/>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701"/>
            <w:vAlign w:val="center"/>
            <w:shd w:fill="EAF2F8"/>
          </w:tcPr>
          <w:p>
            <w:pPr>
              <w:spacing w:lineRule="exact" w:line="280" w:after="0"/>
              <w:jc w:val="center"/>
            </w:pPr>
            <w:r/>
            <w:r>
              <w:rPr>
                <w:b/>
                <w:sz w:val="15"/>
                <w:rFonts w:eastAsia="宋体" w:ascii="Times New Roman" w:hAnsi="Times New Roman"/>
              </w:rPr>
              <w:t>案例</w:t>
            </w:r>
          </w:p>
        </w:tc>
        <w:tc>
          <w:tcPr>
            <w:tcW w:type="dxa" w:w="2154"/>
            <w:vAlign w:val="center"/>
            <w:shd w:fill="EAF2F8"/>
          </w:tcPr>
          <w:p>
            <w:pPr>
              <w:spacing w:lineRule="exact" w:line="280" w:after="0"/>
              <w:jc w:val="center"/>
            </w:pPr>
            <w:r/>
            <w:r>
              <w:rPr>
                <w:b/>
                <w:sz w:val="15"/>
                <w:rFonts w:eastAsia="宋体" w:ascii="Times New Roman" w:hAnsi="Times New Roman"/>
              </w:rPr>
              <w:t>公开来源/许可</w:t>
            </w:r>
          </w:p>
        </w:tc>
        <w:tc>
          <w:tcPr>
            <w:tcW w:type="dxa" w:w="1814"/>
            <w:vAlign w:val="center"/>
            <w:shd w:fill="EAF2F8"/>
          </w:tcPr>
          <w:p>
            <w:pPr>
              <w:spacing w:lineRule="exact" w:line="280" w:after="0"/>
              <w:jc w:val="center"/>
            </w:pPr>
            <w:r/>
            <w:r>
              <w:rPr>
                <w:b/>
                <w:sz w:val="15"/>
                <w:rFonts w:eastAsia="宋体" w:ascii="Times New Roman" w:hAnsi="Times New Roman"/>
              </w:rPr>
              <w:t>EDA文件</w:t>
            </w:r>
          </w:p>
        </w:tc>
        <w:tc>
          <w:tcPr>
            <w:tcW w:type="dxa" w:w="2268"/>
            <w:vAlign w:val="center"/>
            <w:shd w:fill="EAF2F8"/>
          </w:tcPr>
          <w:p>
            <w:pPr>
              <w:spacing w:lineRule="exact" w:line="280" w:after="0"/>
              <w:jc w:val="center"/>
            </w:pPr>
            <w:r/>
            <w:r>
              <w:rPr>
                <w:b/>
                <w:sz w:val="15"/>
                <w:rFonts w:eastAsia="宋体" w:ascii="Times New Roman" w:hAnsi="Times New Roman"/>
              </w:rPr>
              <w:t>封装/引脚</w:t>
            </w:r>
          </w:p>
        </w:tc>
        <w:tc>
          <w:tcPr>
            <w:tcW w:type="dxa" w:w="1361"/>
            <w:vAlign w:val="center"/>
            <w:shd w:fill="EAF2F8"/>
          </w:tcPr>
          <w:p>
            <w:pPr>
              <w:spacing w:lineRule="exact" w:line="280" w:after="0"/>
              <w:jc w:val="center"/>
            </w:pPr>
            <w:r/>
            <w:r>
              <w:rPr>
                <w:b/>
                <w:sz w:val="15"/>
                <w:rFonts w:eastAsia="宋体" w:ascii="Times New Roman" w:hAnsi="Times New Roman"/>
              </w:rPr>
              <w:t>Gerber/DRL/钻孔</w:t>
            </w:r>
          </w:p>
        </w:tc>
      </w:tr>
      <w:tr>
        <w:tc>
          <w:tcPr>
            <w:tcW w:type="dxa" w:w="1701"/>
            <w:vAlign w:val="center"/>
          </w:tcPr>
          <w:p>
            <w:pPr>
              <w:spacing w:lineRule="exact" w:line="280" w:after="0"/>
              <w:jc w:val="left"/>
            </w:pPr>
            <w:r/>
            <w:r>
              <w:rPr>
                <w:b w:val="0"/>
                <w:sz w:val="15"/>
                <w:rFonts w:eastAsia="宋体" w:ascii="Times New Roman" w:hAnsi="Times New Roman"/>
              </w:rPr>
              <w:t>pcie test dual ww37</w:t>
            </w:r>
          </w:p>
        </w:tc>
        <w:tc>
          <w:tcPr>
            <w:tcW w:type="dxa" w:w="2154"/>
            <w:vAlign w:val="center"/>
          </w:tcPr>
          <w:p>
            <w:pPr>
              <w:spacing w:lineRule="exact" w:line="280" w:after="0"/>
              <w:jc w:val="left"/>
            </w:pPr>
            <w:r/>
            <w:r>
              <w:rPr>
                <w:b w:val="0"/>
                <w:sz w:val="15"/>
                <w:rFonts w:eastAsia="宋体" w:ascii="Times New Roman" w:hAnsi="Times New Roman"/>
              </w:rPr>
              <w:t>mengstr/PCIeTestPCB</w:t>
              <w:br/>
              <w:t>CC0-1.0</w:t>
            </w:r>
          </w:p>
        </w:tc>
        <w:tc>
          <w:tcPr>
            <w:tcW w:type="dxa" w:w="1814"/>
            <w:vAlign w:val="center"/>
          </w:tcPr>
          <w:p>
            <w:pPr>
              <w:spacing w:lineRule="exact" w:line="280" w:after="0"/>
              <w:jc w:val="center"/>
            </w:pPr>
            <w:r/>
            <w:r>
              <w:rPr>
                <w:b w:val="0"/>
                <w:sz w:val="15"/>
                <w:rFonts w:eastAsia="宋体" w:ascii="Times New Roman" w:hAnsi="Times New Roman"/>
              </w:rPr>
              <w:t>PCIeTest.kicad_pcb</w:t>
            </w:r>
          </w:p>
        </w:tc>
        <w:tc>
          <w:tcPr>
            <w:tcW w:type="dxa" w:w="2268"/>
            <w:vAlign w:val="center"/>
          </w:tcPr>
          <w:p>
            <w:pPr>
              <w:spacing w:lineRule="exact" w:line="280" w:after="0"/>
              <w:jc w:val="left"/>
            </w:pPr>
            <w:r/>
            <w:r>
              <w:rPr>
                <w:b w:val="0"/>
                <w:sz w:val="15"/>
                <w:rFonts w:eastAsia="宋体" w:ascii="Times New Roman" w:hAnsi="Times New Roman"/>
              </w:rPr>
              <w:t>matseng:PAD64-1.5_1.0</w:t>
              <w:br/>
              <w:t>64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pi5 pcie breakout</w:t>
            </w:r>
          </w:p>
        </w:tc>
        <w:tc>
          <w:tcPr>
            <w:tcW w:type="dxa" w:w="2154"/>
            <w:vAlign w:val="center"/>
          </w:tcPr>
          <w:p>
            <w:pPr>
              <w:spacing w:lineRule="exact" w:line="280" w:after="0"/>
              <w:jc w:val="center"/>
            </w:pPr>
            <w:r/>
            <w:r>
              <w:rPr>
                <w:b w:val="0"/>
                <w:sz w:val="15"/>
                <w:rFonts w:eastAsia="宋体" w:ascii="Times New Roman" w:hAnsi="Times New Roman"/>
              </w:rPr>
              <w:t>m1geo/Pi5_PCIe</w:t>
              <w:br/>
              <w:t>MIT</w:t>
            </w:r>
          </w:p>
        </w:tc>
        <w:tc>
          <w:tcPr>
            <w:tcW w:type="dxa" w:w="1814"/>
            <w:vAlign w:val="center"/>
          </w:tcPr>
          <w:p>
            <w:pPr>
              <w:spacing w:lineRule="exact" w:line="280" w:after="0"/>
              <w:jc w:val="center"/>
            </w:pPr>
            <w:r/>
            <w:r>
              <w:rPr>
                <w:b w:val="0"/>
                <w:sz w:val="15"/>
                <w:rFonts w:eastAsia="宋体" w:ascii="Times New Roman" w:hAnsi="Times New Roman"/>
              </w:rPr>
              <w:t>Pi5_PCIe.kicad_pcb</w:t>
            </w:r>
          </w:p>
        </w:tc>
        <w:tc>
          <w:tcPr>
            <w:tcW w:type="dxa" w:w="2268"/>
            <w:vAlign w:val="center"/>
          </w:tcPr>
          <w:p>
            <w:pPr>
              <w:spacing w:lineRule="exact" w:line="280" w:after="0"/>
              <w:jc w:val="left"/>
            </w:pPr>
            <w:r/>
            <w:r>
              <w:rPr>
                <w:b w:val="0"/>
                <w:sz w:val="15"/>
                <w:rFonts w:eastAsia="宋体" w:ascii="Times New Roman" w:hAnsi="Times New Roman"/>
              </w:rPr>
              <w:t>10018783-11200TLF:AMPHENOL_10018783-11200TLF</w:t>
              <w:br/>
              <w:t>36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pi5 m2 hat</w:t>
            </w:r>
          </w:p>
        </w:tc>
        <w:tc>
          <w:tcPr>
            <w:tcW w:type="dxa" w:w="2154"/>
            <w:vAlign w:val="center"/>
          </w:tcPr>
          <w:p>
            <w:pPr>
              <w:spacing w:lineRule="exact" w:line="280" w:after="0"/>
              <w:jc w:val="center"/>
            </w:pPr>
            <w:r/>
            <w:r>
              <w:rPr>
                <w:b w:val="0"/>
                <w:sz w:val="15"/>
                <w:rFonts w:eastAsia="宋体" w:ascii="Times New Roman" w:hAnsi="Times New Roman"/>
              </w:rPr>
              <w:t>m1geo/Pi5_PCIe</w:t>
              <w:br/>
              <w:t>MIT</w:t>
            </w:r>
          </w:p>
        </w:tc>
        <w:tc>
          <w:tcPr>
            <w:tcW w:type="dxa" w:w="1814"/>
            <w:vAlign w:val="center"/>
          </w:tcPr>
          <w:p>
            <w:pPr>
              <w:spacing w:lineRule="exact" w:line="280" w:after="0"/>
              <w:jc w:val="left"/>
            </w:pPr>
            <w:r/>
            <w:r>
              <w:rPr>
                <w:b w:val="0"/>
                <w:sz w:val="15"/>
                <w:rFonts w:eastAsia="宋体" w:ascii="Times New Roman" w:hAnsi="Times New Roman"/>
              </w:rPr>
              <w:t>Pi5_M2_Hat.kicad_pcb</w:t>
            </w:r>
          </w:p>
        </w:tc>
        <w:tc>
          <w:tcPr>
            <w:tcW w:type="dxa" w:w="2268"/>
            <w:vAlign w:val="center"/>
          </w:tcPr>
          <w:p>
            <w:pPr>
              <w:spacing w:lineRule="exact" w:line="280" w:after="0"/>
              <w:jc w:val="left"/>
            </w:pPr>
            <w:r/>
            <w:r>
              <w:rPr>
                <w:b w:val="0"/>
                <w:sz w:val="15"/>
                <w:rFonts w:eastAsia="宋体" w:ascii="Times New Roman" w:hAnsi="Times New Roman"/>
              </w:rPr>
              <w:t>ngff:AMPHENOL_MDT420M03001</w:t>
              <w:br/>
              <w:t>69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left"/>
            </w:pPr>
            <w:r/>
            <w:r>
              <w:rPr>
                <w:b w:val="0"/>
                <w:sz w:val="15"/>
                <w:rFonts w:eastAsia="宋体" w:ascii="Times New Roman" w:hAnsi="Times New Roman"/>
              </w:rPr>
              <w:t>pcie aux signal breakout</w:t>
            </w:r>
          </w:p>
        </w:tc>
        <w:tc>
          <w:tcPr>
            <w:tcW w:type="dxa" w:w="2154"/>
            <w:vAlign w:val="center"/>
          </w:tcPr>
          <w:p>
            <w:pPr>
              <w:spacing w:lineRule="exact" w:line="280" w:after="0"/>
              <w:jc w:val="left"/>
            </w:pPr>
            <w:r/>
            <w:r>
              <w:rPr>
                <w:b w:val="0"/>
                <w:sz w:val="15"/>
                <w:rFonts w:eastAsia="宋体" w:ascii="Times New Roman" w:hAnsi="Times New Roman"/>
              </w:rPr>
              <w:t>Supercookiegaming/PCIe-Aux-Signal-Breakout</w:t>
              <w:br/>
              <w:t>not specified</w:t>
            </w:r>
          </w:p>
        </w:tc>
        <w:tc>
          <w:tcPr>
            <w:tcW w:type="dxa" w:w="1814"/>
            <w:vAlign w:val="center"/>
          </w:tcPr>
          <w:p>
            <w:pPr>
              <w:spacing w:lineRule="exact" w:line="280" w:after="0"/>
              <w:jc w:val="left"/>
            </w:pPr>
            <w:r/>
            <w:r>
              <w:rPr>
                <w:b w:val="0"/>
                <w:sz w:val="15"/>
                <w:rFonts w:eastAsia="宋体" w:ascii="Times New Roman" w:hAnsi="Times New Roman"/>
              </w:rPr>
              <w:t>PCIe-Aux-Signal-Breakout.kicad_pcb</w:t>
            </w:r>
          </w:p>
        </w:tc>
        <w:tc>
          <w:tcPr>
            <w:tcW w:type="dxa" w:w="2268"/>
            <w:vAlign w:val="center"/>
          </w:tcPr>
          <w:p>
            <w:pPr>
              <w:spacing w:lineRule="exact" w:line="280" w:after="0"/>
              <w:jc w:val="left"/>
            </w:pPr>
            <w:r/>
            <w:r>
              <w:rPr>
                <w:b w:val="0"/>
                <w:sz w:val="15"/>
                <w:rFonts w:eastAsia="宋体" w:ascii="Times New Roman" w:hAnsi="Times New Roman"/>
              </w:rPr>
              <w:t>PCIexpress:PCIexpress_x1</w:t>
              <w:br/>
              <w:t>36 pin</w:t>
            </w:r>
          </w:p>
        </w:tc>
        <w:tc>
          <w:tcPr>
            <w:tcW w:type="dxa" w:w="1361"/>
            <w:vAlign w:val="center"/>
          </w:tcPr>
          <w:p>
            <w:pPr>
              <w:spacing w:lineRule="exact" w:line="280" w:after="0"/>
              <w:jc w:val="center"/>
            </w:pPr>
            <w:r/>
            <w:r>
              <w:rPr>
                <w:b w:val="0"/>
                <w:sz w:val="15"/>
                <w:rFonts w:eastAsia="宋体" w:ascii="Times New Roman" w:hAnsi="Times New Roman"/>
              </w:rPr>
              <w:t>9/2/52</w:t>
            </w:r>
          </w:p>
        </w:tc>
      </w:tr>
      <w:tr>
        <w:tc>
          <w:tcPr>
            <w:tcW w:type="dxa" w:w="1701"/>
            <w:vAlign w:val="center"/>
          </w:tcPr>
          <w:p>
            <w:pPr>
              <w:spacing w:lineRule="exact" w:line="280" w:after="0"/>
              <w:jc w:val="left"/>
            </w:pPr>
            <w:r/>
            <w:r>
              <w:rPr>
                <w:b w:val="0"/>
                <w:sz w:val="15"/>
                <w:rFonts w:eastAsia="宋体" w:ascii="Times New Roman" w:hAnsi="Times New Roman"/>
              </w:rPr>
              <w:t>mini pcie reference</w:t>
            </w:r>
          </w:p>
        </w:tc>
        <w:tc>
          <w:tcPr>
            <w:tcW w:type="dxa" w:w="2154"/>
            <w:vAlign w:val="center"/>
          </w:tcPr>
          <w:p>
            <w:pPr>
              <w:spacing w:lineRule="exact" w:line="280" w:after="0"/>
              <w:jc w:val="left"/>
            </w:pPr>
            <w:r/>
            <w:r>
              <w:rPr>
                <w:b w:val="0"/>
                <w:sz w:val="15"/>
                <w:rFonts w:eastAsia="宋体" w:ascii="Times New Roman" w:hAnsi="Times New Roman"/>
              </w:rPr>
              <w:t>mithro/kicad-mini-pci-express</w:t>
              <w:br/>
              <w:t>Apache-2.0</w:t>
            </w:r>
          </w:p>
        </w:tc>
        <w:tc>
          <w:tcPr>
            <w:tcW w:type="dxa" w:w="1814"/>
            <w:vAlign w:val="center"/>
          </w:tcPr>
          <w:p>
            <w:pPr>
              <w:spacing w:lineRule="exact" w:line="280" w:after="0"/>
              <w:jc w:val="center"/>
            </w:pPr>
            <w:r/>
            <w:r>
              <w:rPr>
                <w:b w:val="0"/>
                <w:sz w:val="15"/>
                <w:rFonts w:eastAsia="宋体" w:ascii="Times New Roman" w:hAnsi="Times New Roman"/>
              </w:rPr>
              <w:t>mpcie.kicad_pcb</w:t>
            </w:r>
          </w:p>
        </w:tc>
        <w:tc>
          <w:tcPr>
            <w:tcW w:type="dxa" w:w="2268"/>
            <w:vAlign w:val="center"/>
          </w:tcPr>
          <w:p>
            <w:pPr>
              <w:spacing w:lineRule="exact" w:line="280" w:after="0"/>
              <w:jc w:val="left"/>
            </w:pPr>
            <w:r/>
            <w:r>
              <w:rPr>
                <w:b w:val="0"/>
                <w:sz w:val="15"/>
                <w:rFonts w:eastAsia="宋体" w:ascii="Times New Roman" w:hAnsi="Times New Roman"/>
              </w:rPr>
              <w:t>mpcie:mpcie-full-card</w:t>
              <w:br/>
              <w:t>52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left"/>
            </w:pPr>
            <w:r/>
            <w:r>
              <w:rPr>
                <w:b w:val="0"/>
                <w:sz w:val="15"/>
                <w:rFonts w:eastAsia="宋体" w:ascii="Times New Roman" w:hAnsi="Times New Roman"/>
              </w:rPr>
              <w:t>coral dual m2 adapter</w:t>
            </w:r>
          </w:p>
        </w:tc>
        <w:tc>
          <w:tcPr>
            <w:tcW w:type="dxa" w:w="2154"/>
            <w:vAlign w:val="center"/>
          </w:tcPr>
          <w:p>
            <w:pPr>
              <w:spacing w:lineRule="exact" w:line="280" w:after="0"/>
              <w:jc w:val="left"/>
            </w:pPr>
            <w:r/>
            <w:r>
              <w:rPr>
                <w:b w:val="0"/>
                <w:sz w:val="15"/>
                <w:rFonts w:eastAsia="宋体" w:ascii="Times New Roman" w:hAnsi="Times New Roman"/>
              </w:rPr>
              <w:t>serg987/coral-dual-m2-adapter-pcb</w:t>
              <w:br/>
              <w:t>GPL-3.0</w:t>
            </w:r>
          </w:p>
        </w:tc>
        <w:tc>
          <w:tcPr>
            <w:tcW w:type="dxa" w:w="1814"/>
            <w:vAlign w:val="center"/>
          </w:tcPr>
          <w:p>
            <w:pPr>
              <w:spacing w:lineRule="exact" w:line="280" w:after="0"/>
              <w:jc w:val="left"/>
            </w:pPr>
            <w:r/>
            <w:r>
              <w:rPr>
                <w:b w:val="0"/>
                <w:sz w:val="15"/>
                <w:rFonts w:eastAsia="宋体" w:ascii="Times New Roman" w:hAnsi="Times New Roman"/>
              </w:rPr>
              <w:t>m2_coral_dual_adapter.kicad_pcb</w:t>
            </w:r>
          </w:p>
        </w:tc>
        <w:tc>
          <w:tcPr>
            <w:tcW w:type="dxa" w:w="2268"/>
            <w:vAlign w:val="center"/>
          </w:tcPr>
          <w:p>
            <w:pPr>
              <w:spacing w:lineRule="exact" w:line="280" w:after="0"/>
              <w:jc w:val="left"/>
            </w:pPr>
            <w:r/>
            <w:r>
              <w:rPr>
                <w:b w:val="0"/>
                <w:sz w:val="15"/>
                <w:rFonts w:eastAsia="宋体" w:ascii="Times New Roman" w:hAnsi="Times New Roman"/>
              </w:rPr>
              <w:t>nvme_ae_to_m:Conn_TE-M.2-0.5-67P-doublesided_TypeE</w:t>
              <w:br/>
              <w:t>68 pin</w:t>
            </w:r>
          </w:p>
        </w:tc>
        <w:tc>
          <w:tcPr>
            <w:tcW w:type="dxa" w:w="1361"/>
            <w:vAlign w:val="center"/>
          </w:tcPr>
          <w:p>
            <w:pPr>
              <w:spacing w:lineRule="exact" w:line="280" w:after="0"/>
              <w:jc w:val="center"/>
            </w:pPr>
            <w:r/>
            <w:r>
              <w:rPr>
                <w:b w:val="0"/>
                <w:sz w:val="15"/>
                <w:rFonts w:eastAsia="宋体" w:ascii="Times New Roman" w:hAnsi="Times New Roman"/>
              </w:rPr>
              <w:t>0/0/0</w:t>
            </w:r>
          </w:p>
        </w:tc>
      </w:tr>
      <w:tr>
        <w:tc>
          <w:tcPr>
            <w:tcW w:type="dxa" w:w="1701"/>
            <w:vAlign w:val="center"/>
          </w:tcPr>
          <w:p>
            <w:pPr>
              <w:spacing w:lineRule="exact" w:line="280" w:after="0"/>
              <w:jc w:val="center"/>
            </w:pPr>
            <w:r/>
            <w:r>
              <w:rPr>
                <w:b w:val="0"/>
                <w:sz w:val="15"/>
                <w:rFonts w:eastAsia="宋体" w:ascii="Times New Roman" w:hAnsi="Times New Roman"/>
              </w:rPr>
              <w:t>usb3 ngff carrier</w:t>
            </w:r>
          </w:p>
        </w:tc>
        <w:tc>
          <w:tcPr>
            <w:tcW w:type="dxa" w:w="2154"/>
            <w:vAlign w:val="center"/>
          </w:tcPr>
          <w:p>
            <w:pPr>
              <w:spacing w:lineRule="exact" w:line="280" w:after="0"/>
              <w:jc w:val="left"/>
            </w:pPr>
            <w:r/>
            <w:r>
              <w:rPr>
                <w:b w:val="0"/>
                <w:sz w:val="15"/>
                <w:rFonts w:eastAsia="宋体" w:ascii="Times New Roman" w:hAnsi="Times New Roman"/>
              </w:rPr>
              <w:t>themainframe/5g-m2-usb3-interface-pcb</w:t>
              <w:br/>
              <w:t>MIT</w:t>
            </w:r>
          </w:p>
        </w:tc>
        <w:tc>
          <w:tcPr>
            <w:tcW w:type="dxa" w:w="1814"/>
            <w:vAlign w:val="center"/>
          </w:tcPr>
          <w:p>
            <w:pPr>
              <w:spacing w:lineRule="exact" w:line="280" w:after="0"/>
              <w:jc w:val="left"/>
            </w:pPr>
            <w:r/>
            <w:r>
              <w:rPr>
                <w:b w:val="0"/>
                <w:sz w:val="15"/>
                <w:rFonts w:eastAsia="宋体" w:ascii="Times New Roman" w:hAnsi="Times New Roman"/>
              </w:rPr>
              <w:t>usb3-ngff-carrier.kicad_pcb</w:t>
            </w:r>
          </w:p>
        </w:tc>
        <w:tc>
          <w:tcPr>
            <w:tcW w:type="dxa" w:w="2268"/>
            <w:vAlign w:val="center"/>
          </w:tcPr>
          <w:p>
            <w:pPr>
              <w:spacing w:lineRule="exact" w:line="280" w:after="0"/>
              <w:jc w:val="left"/>
            </w:pPr>
            <w:r/>
            <w:r>
              <w:rPr>
                <w:b w:val="0"/>
                <w:sz w:val="15"/>
                <w:rFonts w:eastAsia="宋体" w:ascii="Times New Roman" w:hAnsi="Times New Roman"/>
              </w:rPr>
              <w:t>footprint:TE_2199119-3</w:t>
              <w:br/>
              <w:t>69 pin</w:t>
            </w:r>
          </w:p>
        </w:tc>
        <w:tc>
          <w:tcPr>
            <w:tcW w:type="dxa" w:w="1361"/>
            <w:vAlign w:val="center"/>
          </w:tcPr>
          <w:p>
            <w:pPr>
              <w:spacing w:lineRule="exact" w:line="280" w:after="0"/>
              <w:jc w:val="center"/>
            </w:pPr>
            <w:r/>
            <w:r>
              <w:rPr>
                <w:b w:val="0"/>
                <w:sz w:val="15"/>
                <w:rFonts w:eastAsia="宋体" w:ascii="Times New Roman" w:hAnsi="Times New Roman"/>
              </w:rPr>
              <w:t>11/2/425</w:t>
            </w:r>
          </w:p>
        </w:tc>
      </w:tr>
    </w:tbl>
    <w:p>
      <w:pPr>
        <w:spacing w:lineRule="exact" w:line="400" w:after="120"/>
      </w:pPr>
    </w:p>
    <w:p>
      <w:pPr>
        <w:spacing w:lineRule="exact" w:line="400" w:after="120"/>
        <w:ind w:firstLine="420"/>
      </w:pPr>
      <w:r>
        <w:rPr>
          <w:sz w:val="24"/>
          <w:rFonts w:eastAsia="宋体" w:ascii="Times New Roman" w:hAnsi="Times New Roman"/>
        </w:rPr>
        <w:t>表 6-3 表明，公开EDA案例既包括仅提供KiCad原生板文件的工程，也包括同时提供Gerber和Excellon/DRL制造文件的工程。该数据结构能够验证解析脚本对板框、端子、封装和制造文件统计信息的提取能力。</w:t>
      </w:r>
    </w:p>
    <w:p>
      <w:pPr>
        <w:spacing w:lineRule="exact" w:line="400" w:after="120"/>
        <w:ind/>
        <w:jc w:val="center"/>
      </w:pPr>
      <w:r>
        <w:rPr>
          <w:sz w:val="24"/>
          <w:rFonts w:eastAsia="宋体" w:ascii="Times New Roman" w:hAnsi="Times New Roman"/>
        </w:rPr>
        <w:t>表 6-4 公开EDA案例规则基线与设计算法对比</w:t>
      </w:r>
    </w:p>
    <w:tbl>
      <w:tblPr>
        <w:tblStyle w:val="33"/>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814"/>
            <w:vAlign w:val="center"/>
            <w:shd w:fill="EAF2F8"/>
          </w:tcPr>
          <w:p>
            <w:pPr>
              <w:spacing w:lineRule="exact" w:line="280" w:after="0"/>
              <w:jc w:val="center"/>
            </w:pPr>
            <w:r/>
            <w:r>
              <w:rPr>
                <w:b/>
                <w:sz w:val="16"/>
                <w:rFonts w:eastAsia="宋体" w:ascii="Times New Roman" w:hAnsi="Times New Roman"/>
              </w:rPr>
              <w:t>案例</w:t>
            </w:r>
          </w:p>
        </w:tc>
        <w:tc>
          <w:tcPr>
            <w:tcW w:type="dxa" w:w="1191"/>
            <w:vAlign w:val="center"/>
            <w:shd w:fill="EAF2F8"/>
          </w:tcPr>
          <w:p>
            <w:pPr>
              <w:spacing w:lineRule="exact" w:line="280" w:after="0"/>
              <w:jc w:val="center"/>
            </w:pPr>
            <w:r/>
            <w:r>
              <w:rPr>
                <w:b/>
                <w:sz w:val="16"/>
                <w:rFonts w:eastAsia="宋体" w:ascii="Times New Roman" w:hAnsi="Times New Roman"/>
              </w:rPr>
              <w:t>基线布通/%</w:t>
            </w:r>
          </w:p>
        </w:tc>
        <w:tc>
          <w:tcPr>
            <w:tcW w:type="dxa" w:w="1191"/>
            <w:vAlign w:val="center"/>
            <w:shd w:fill="EAF2F8"/>
          </w:tcPr>
          <w:p>
            <w:pPr>
              <w:spacing w:lineRule="exact" w:line="280" w:after="0"/>
              <w:jc w:val="center"/>
            </w:pPr>
            <w:r/>
            <w:r>
              <w:rPr>
                <w:b/>
                <w:sz w:val="16"/>
                <w:rFonts w:eastAsia="宋体" w:ascii="Times New Roman" w:hAnsi="Times New Roman"/>
              </w:rPr>
              <w:t>算法布通/%</w:t>
            </w:r>
          </w:p>
        </w:tc>
        <w:tc>
          <w:tcPr>
            <w:tcW w:type="dxa" w:w="1191"/>
            <w:vAlign w:val="center"/>
            <w:shd w:fill="EAF2F8"/>
          </w:tcPr>
          <w:p>
            <w:pPr>
              <w:spacing w:lineRule="exact" w:line="280" w:after="0"/>
              <w:jc w:val="center"/>
            </w:pPr>
            <w:r/>
            <w:r>
              <w:rPr>
                <w:b/>
                <w:sz w:val="16"/>
                <w:rFonts w:eastAsia="宋体" w:ascii="Times New Roman" w:hAnsi="Times New Roman"/>
              </w:rPr>
              <w:t>基线面积/%</w:t>
            </w:r>
          </w:p>
        </w:tc>
        <w:tc>
          <w:tcPr>
            <w:tcW w:type="dxa" w:w="1191"/>
            <w:vAlign w:val="center"/>
            <w:shd w:fill="EAF2F8"/>
          </w:tcPr>
          <w:p>
            <w:pPr>
              <w:spacing w:lineRule="exact" w:line="280" w:after="0"/>
              <w:jc w:val="center"/>
            </w:pPr>
            <w:r/>
            <w:r>
              <w:rPr>
                <w:b/>
                <w:sz w:val="16"/>
                <w:rFonts w:eastAsia="宋体" w:ascii="Times New Roman" w:hAnsi="Times New Roman"/>
              </w:rPr>
              <w:t>算法面积/%</w:t>
            </w:r>
          </w:p>
        </w:tc>
        <w:tc>
          <w:tcPr>
            <w:tcW w:type="dxa" w:w="1020"/>
            <w:vAlign w:val="center"/>
            <w:shd w:fill="EAF2F8"/>
          </w:tcPr>
          <w:p>
            <w:pPr>
              <w:spacing w:lineRule="exact" w:line="280" w:after="0"/>
              <w:jc w:val="center"/>
            </w:pPr>
            <w:r/>
            <w:r>
              <w:rPr>
                <w:b/>
                <w:sz w:val="16"/>
                <w:rFonts w:eastAsia="宋体" w:ascii="Times New Roman" w:hAnsi="Times New Roman"/>
              </w:rPr>
              <w:t>基线违规</w:t>
            </w:r>
          </w:p>
        </w:tc>
        <w:tc>
          <w:tcPr>
            <w:tcW w:type="dxa" w:w="1020"/>
            <w:vAlign w:val="center"/>
            <w:shd w:fill="EAF2F8"/>
          </w:tcPr>
          <w:p>
            <w:pPr>
              <w:spacing w:lineRule="exact" w:line="280" w:after="0"/>
              <w:jc w:val="center"/>
            </w:pPr>
            <w:r/>
            <w:r>
              <w:rPr>
                <w:b/>
                <w:sz w:val="16"/>
                <w:rFonts w:eastAsia="宋体" w:ascii="Times New Roman" w:hAnsi="Times New Roman"/>
              </w:rPr>
              <w:t>算法违规</w:t>
            </w:r>
          </w:p>
        </w:tc>
      </w:tr>
      <w:tr>
        <w:tc>
          <w:tcPr>
            <w:tcW w:type="dxa" w:w="1814"/>
            <w:vAlign w:val="center"/>
          </w:tcPr>
          <w:p>
            <w:pPr>
              <w:spacing w:lineRule="exact" w:line="280" w:after="0"/>
              <w:jc w:val="left"/>
            </w:pPr>
            <w:r/>
            <w:r>
              <w:rPr>
                <w:b w:val="0"/>
                <w:sz w:val="16"/>
                <w:rFonts w:eastAsia="宋体" w:ascii="Times New Roman" w:hAnsi="Times New Roman"/>
              </w:rPr>
              <w:t>pcie test dual ww37</w:t>
            </w:r>
          </w:p>
        </w:tc>
        <w:tc>
          <w:tcPr>
            <w:tcW w:type="dxa" w:w="1191"/>
            <w:vAlign w:val="center"/>
          </w:tcPr>
          <w:p>
            <w:pPr>
              <w:spacing w:lineRule="exact" w:line="280" w:after="0"/>
              <w:jc w:val="center"/>
            </w:pPr>
            <w:r/>
            <w:r>
              <w:rPr>
                <w:b w:val="0"/>
                <w:sz w:val="16"/>
                <w:rFonts w:eastAsia="宋体" w:ascii="Times New Roman" w:hAnsi="Times New Roman"/>
              </w:rPr>
              <w:t>98.44</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73.91</w:t>
            </w:r>
          </w:p>
        </w:tc>
        <w:tc>
          <w:tcPr>
            <w:tcW w:type="dxa" w:w="1191"/>
            <w:vAlign w:val="center"/>
          </w:tcPr>
          <w:p>
            <w:pPr>
              <w:spacing w:lineRule="exact" w:line="280" w:after="0"/>
              <w:jc w:val="center"/>
            </w:pPr>
            <w:r/>
            <w:r>
              <w:rPr>
                <w:b w:val="0"/>
                <w:sz w:val="16"/>
                <w:rFonts w:eastAsia="宋体" w:ascii="Times New Roman" w:hAnsi="Times New Roman"/>
              </w:rPr>
              <w:t>11.37</w:t>
            </w:r>
          </w:p>
        </w:tc>
        <w:tc>
          <w:tcPr>
            <w:tcW w:type="dxa" w:w="1020"/>
            <w:vAlign w:val="center"/>
          </w:tcPr>
          <w:p>
            <w:pPr>
              <w:spacing w:lineRule="exact" w:line="280" w:after="0"/>
              <w:jc w:val="center"/>
            </w:pPr>
            <w:r/>
            <w:r>
              <w:rPr>
                <w:b w:val="0"/>
                <w:sz w:val="16"/>
                <w:rFonts w:eastAsia="宋体" w:ascii="Times New Roman" w:hAnsi="Times New Roman"/>
              </w:rPr>
              <w:t>1</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center"/>
            </w:pPr>
            <w:r/>
            <w:r>
              <w:rPr>
                <w:b w:val="0"/>
                <w:sz w:val="16"/>
                <w:rFonts w:eastAsia="宋体" w:ascii="Times New Roman" w:hAnsi="Times New Roman"/>
              </w:rPr>
              <w:t>pi5 pcie breakout</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74.40</w:t>
            </w:r>
          </w:p>
        </w:tc>
        <w:tc>
          <w:tcPr>
            <w:tcW w:type="dxa" w:w="1191"/>
            <w:vAlign w:val="center"/>
          </w:tcPr>
          <w:p>
            <w:pPr>
              <w:spacing w:lineRule="exact" w:line="280" w:after="0"/>
              <w:jc w:val="center"/>
            </w:pPr>
            <w:r/>
            <w:r>
              <w:rPr>
                <w:b w:val="0"/>
                <w:sz w:val="16"/>
                <w:rFonts w:eastAsia="宋体" w:ascii="Times New Roman" w:hAnsi="Times New Roman"/>
              </w:rPr>
              <w:t>22.85</w:t>
            </w:r>
          </w:p>
        </w:tc>
        <w:tc>
          <w:tcPr>
            <w:tcW w:type="dxa" w:w="1020"/>
            <w:vAlign w:val="center"/>
          </w:tcPr>
          <w:p>
            <w:pPr>
              <w:spacing w:lineRule="exact" w:line="280" w:after="0"/>
              <w:jc w:val="center"/>
            </w:pPr>
            <w:r/>
            <w:r>
              <w:rPr>
                <w:b w:val="0"/>
                <w:sz w:val="16"/>
                <w:rFonts w:eastAsia="宋体" w:ascii="Times New Roman" w:hAnsi="Times New Roman"/>
              </w:rPr>
              <w:t>0</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center"/>
            </w:pPr>
            <w:r/>
            <w:r>
              <w:rPr>
                <w:b w:val="0"/>
                <w:sz w:val="16"/>
                <w:rFonts w:eastAsia="宋体" w:ascii="Times New Roman" w:hAnsi="Times New Roman"/>
              </w:rPr>
              <w:t>pi5 m2 hat</w:t>
            </w:r>
          </w:p>
        </w:tc>
        <w:tc>
          <w:tcPr>
            <w:tcW w:type="dxa" w:w="1191"/>
            <w:vAlign w:val="center"/>
          </w:tcPr>
          <w:p>
            <w:pPr>
              <w:spacing w:lineRule="exact" w:line="280" w:after="0"/>
              <w:jc w:val="center"/>
            </w:pPr>
            <w:r/>
            <w:r>
              <w:rPr>
                <w:b w:val="0"/>
                <w:sz w:val="16"/>
                <w:rFonts w:eastAsia="宋体" w:ascii="Times New Roman" w:hAnsi="Times New Roman"/>
              </w:rPr>
              <w:t>37.68</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72.02</w:t>
            </w:r>
          </w:p>
        </w:tc>
        <w:tc>
          <w:tcPr>
            <w:tcW w:type="dxa" w:w="1191"/>
            <w:vAlign w:val="center"/>
          </w:tcPr>
          <w:p>
            <w:pPr>
              <w:spacing w:lineRule="exact" w:line="280" w:after="0"/>
              <w:jc w:val="center"/>
            </w:pPr>
            <w:r/>
            <w:r>
              <w:rPr>
                <w:b w:val="0"/>
                <w:sz w:val="16"/>
                <w:rFonts w:eastAsia="宋体" w:ascii="Times New Roman" w:hAnsi="Times New Roman"/>
              </w:rPr>
              <w:t>44.18</w:t>
            </w:r>
          </w:p>
        </w:tc>
        <w:tc>
          <w:tcPr>
            <w:tcW w:type="dxa" w:w="1020"/>
            <w:vAlign w:val="center"/>
          </w:tcPr>
          <w:p>
            <w:pPr>
              <w:spacing w:lineRule="exact" w:line="280" w:after="0"/>
              <w:jc w:val="center"/>
            </w:pPr>
            <w:r/>
            <w:r>
              <w:rPr>
                <w:b w:val="0"/>
                <w:sz w:val="16"/>
                <w:rFonts w:eastAsia="宋体" w:ascii="Times New Roman" w:hAnsi="Times New Roman"/>
              </w:rPr>
              <w:t>43</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left"/>
            </w:pPr>
            <w:r/>
            <w:r>
              <w:rPr>
                <w:b w:val="0"/>
                <w:sz w:val="16"/>
                <w:rFonts w:eastAsia="宋体" w:ascii="Times New Roman" w:hAnsi="Times New Roman"/>
              </w:rPr>
              <w:t>pcie aux signal breakout</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73.29</w:t>
            </w:r>
          </w:p>
        </w:tc>
        <w:tc>
          <w:tcPr>
            <w:tcW w:type="dxa" w:w="1191"/>
            <w:vAlign w:val="center"/>
          </w:tcPr>
          <w:p>
            <w:pPr>
              <w:spacing w:lineRule="exact" w:line="280" w:after="0"/>
              <w:jc w:val="center"/>
            </w:pPr>
            <w:r/>
            <w:r>
              <w:rPr>
                <w:b w:val="0"/>
                <w:sz w:val="16"/>
                <w:rFonts w:eastAsia="宋体" w:ascii="Times New Roman" w:hAnsi="Times New Roman"/>
              </w:rPr>
              <w:t>16.87</w:t>
            </w:r>
          </w:p>
        </w:tc>
        <w:tc>
          <w:tcPr>
            <w:tcW w:type="dxa" w:w="1020"/>
            <w:vAlign w:val="center"/>
          </w:tcPr>
          <w:p>
            <w:pPr>
              <w:spacing w:lineRule="exact" w:line="280" w:after="0"/>
              <w:jc w:val="center"/>
            </w:pPr>
            <w:r/>
            <w:r>
              <w:rPr>
                <w:b w:val="0"/>
                <w:sz w:val="16"/>
                <w:rFonts w:eastAsia="宋体" w:ascii="Times New Roman" w:hAnsi="Times New Roman"/>
              </w:rPr>
              <w:t>0</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left"/>
            </w:pPr>
            <w:r/>
            <w:r>
              <w:rPr>
                <w:b w:val="0"/>
                <w:sz w:val="16"/>
                <w:rFonts w:eastAsia="宋体" w:ascii="Times New Roman" w:hAnsi="Times New Roman"/>
              </w:rPr>
              <w:t>mini pcie reference</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70.10</w:t>
            </w:r>
          </w:p>
        </w:tc>
        <w:tc>
          <w:tcPr>
            <w:tcW w:type="dxa" w:w="1191"/>
            <w:vAlign w:val="center"/>
          </w:tcPr>
          <w:p>
            <w:pPr>
              <w:spacing w:lineRule="exact" w:line="280" w:after="0"/>
              <w:jc w:val="center"/>
            </w:pPr>
            <w:r/>
            <w:r>
              <w:rPr>
                <w:b w:val="0"/>
                <w:sz w:val="16"/>
                <w:rFonts w:eastAsia="宋体" w:ascii="Times New Roman" w:hAnsi="Times New Roman"/>
              </w:rPr>
              <w:t>22.55</w:t>
            </w:r>
          </w:p>
        </w:tc>
        <w:tc>
          <w:tcPr>
            <w:tcW w:type="dxa" w:w="1020"/>
            <w:vAlign w:val="center"/>
          </w:tcPr>
          <w:p>
            <w:pPr>
              <w:spacing w:lineRule="exact" w:line="280" w:after="0"/>
              <w:jc w:val="center"/>
            </w:pPr>
            <w:r/>
            <w:r>
              <w:rPr>
                <w:b w:val="0"/>
                <w:sz w:val="16"/>
                <w:rFonts w:eastAsia="宋体" w:ascii="Times New Roman" w:hAnsi="Times New Roman"/>
              </w:rPr>
              <w:t>0</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left"/>
            </w:pPr>
            <w:r/>
            <w:r>
              <w:rPr>
                <w:b w:val="0"/>
                <w:sz w:val="16"/>
                <w:rFonts w:eastAsia="宋体" w:ascii="Times New Roman" w:hAnsi="Times New Roman"/>
              </w:rPr>
              <w:t>coral dual m2 adapter</w:t>
            </w:r>
          </w:p>
        </w:tc>
        <w:tc>
          <w:tcPr>
            <w:tcW w:type="dxa" w:w="1191"/>
            <w:vAlign w:val="center"/>
          </w:tcPr>
          <w:p>
            <w:pPr>
              <w:spacing w:lineRule="exact" w:line="280" w:after="0"/>
              <w:jc w:val="center"/>
            </w:pPr>
            <w:r/>
            <w:r>
              <w:rPr>
                <w:b w:val="0"/>
                <w:sz w:val="16"/>
                <w:rFonts w:eastAsia="宋体" w:ascii="Times New Roman" w:hAnsi="Times New Roman"/>
              </w:rPr>
              <w:t>36.76</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72.36</w:t>
            </w:r>
          </w:p>
        </w:tc>
        <w:tc>
          <w:tcPr>
            <w:tcW w:type="dxa" w:w="1191"/>
            <w:vAlign w:val="center"/>
          </w:tcPr>
          <w:p>
            <w:pPr>
              <w:spacing w:lineRule="exact" w:line="280" w:after="0"/>
              <w:jc w:val="center"/>
            </w:pPr>
            <w:r/>
            <w:r>
              <w:rPr>
                <w:b w:val="0"/>
                <w:sz w:val="16"/>
                <w:rFonts w:eastAsia="宋体" w:ascii="Times New Roman" w:hAnsi="Times New Roman"/>
              </w:rPr>
              <w:t>38.88</w:t>
            </w:r>
          </w:p>
        </w:tc>
        <w:tc>
          <w:tcPr>
            <w:tcW w:type="dxa" w:w="1020"/>
            <w:vAlign w:val="center"/>
          </w:tcPr>
          <w:p>
            <w:pPr>
              <w:spacing w:lineRule="exact" w:line="280" w:after="0"/>
              <w:jc w:val="center"/>
            </w:pPr>
            <w:r/>
            <w:r>
              <w:rPr>
                <w:b w:val="0"/>
                <w:sz w:val="16"/>
                <w:rFonts w:eastAsia="宋体" w:ascii="Times New Roman" w:hAnsi="Times New Roman"/>
              </w:rPr>
              <w:t>43</w:t>
            </w:r>
          </w:p>
        </w:tc>
        <w:tc>
          <w:tcPr>
            <w:tcW w:type="dxa" w:w="1020"/>
            <w:vAlign w:val="center"/>
          </w:tcPr>
          <w:p>
            <w:pPr>
              <w:spacing w:lineRule="exact" w:line="280" w:after="0"/>
              <w:jc w:val="center"/>
            </w:pPr>
            <w:r/>
            <w:r>
              <w:rPr>
                <w:b w:val="0"/>
                <w:sz w:val="16"/>
                <w:rFonts w:eastAsia="宋体" w:ascii="Times New Roman" w:hAnsi="Times New Roman"/>
              </w:rPr>
              <w:t>0</w:t>
            </w:r>
          </w:p>
        </w:tc>
      </w:tr>
      <w:tr>
        <w:tc>
          <w:tcPr>
            <w:tcW w:type="dxa" w:w="1814"/>
            <w:vAlign w:val="center"/>
          </w:tcPr>
          <w:p>
            <w:pPr>
              <w:spacing w:lineRule="exact" w:line="280" w:after="0"/>
              <w:jc w:val="center"/>
            </w:pPr>
            <w:r/>
            <w:r>
              <w:rPr>
                <w:b w:val="0"/>
                <w:sz w:val="16"/>
                <w:rFonts w:eastAsia="宋体" w:ascii="Times New Roman" w:hAnsi="Times New Roman"/>
              </w:rPr>
              <w:t>usb3 ngff carrier</w:t>
            </w:r>
          </w:p>
        </w:tc>
        <w:tc>
          <w:tcPr>
            <w:tcW w:type="dxa" w:w="1191"/>
            <w:vAlign w:val="center"/>
          </w:tcPr>
          <w:p>
            <w:pPr>
              <w:spacing w:lineRule="exact" w:line="280" w:after="0"/>
              <w:jc w:val="center"/>
            </w:pPr>
            <w:r/>
            <w:r>
              <w:rPr>
                <w:b w:val="0"/>
                <w:sz w:val="16"/>
                <w:rFonts w:eastAsia="宋体" w:ascii="Times New Roman" w:hAnsi="Times New Roman"/>
              </w:rPr>
              <w:t>37.68</w:t>
            </w:r>
          </w:p>
        </w:tc>
        <w:tc>
          <w:tcPr>
            <w:tcW w:type="dxa" w:w="1191"/>
            <w:vAlign w:val="center"/>
          </w:tcPr>
          <w:p>
            <w:pPr>
              <w:spacing w:lineRule="exact" w:line="280" w:after="0"/>
              <w:jc w:val="center"/>
            </w:pPr>
            <w:r/>
            <w:r>
              <w:rPr>
                <w:b w:val="0"/>
                <w:sz w:val="16"/>
                <w:rFonts w:eastAsia="宋体" w:ascii="Times New Roman" w:hAnsi="Times New Roman"/>
              </w:rPr>
              <w:t>100.00</w:t>
            </w:r>
          </w:p>
        </w:tc>
        <w:tc>
          <w:tcPr>
            <w:tcW w:type="dxa" w:w="1191"/>
            <w:vAlign w:val="center"/>
          </w:tcPr>
          <w:p>
            <w:pPr>
              <w:spacing w:lineRule="exact" w:line="280" w:after="0"/>
              <w:jc w:val="center"/>
            </w:pPr>
            <w:r/>
            <w:r>
              <w:rPr>
                <w:b w:val="0"/>
                <w:sz w:val="16"/>
                <w:rFonts w:eastAsia="宋体" w:ascii="Times New Roman" w:hAnsi="Times New Roman"/>
              </w:rPr>
              <w:t>70.00</w:t>
            </w:r>
          </w:p>
        </w:tc>
        <w:tc>
          <w:tcPr>
            <w:tcW w:type="dxa" w:w="1191"/>
            <w:vAlign w:val="center"/>
          </w:tcPr>
          <w:p>
            <w:pPr>
              <w:spacing w:lineRule="exact" w:line="280" w:after="0"/>
              <w:jc w:val="center"/>
            </w:pPr>
            <w:r/>
            <w:r>
              <w:rPr>
                <w:b w:val="0"/>
                <w:sz w:val="16"/>
                <w:rFonts w:eastAsia="宋体" w:ascii="Times New Roman" w:hAnsi="Times New Roman"/>
              </w:rPr>
              <w:t>37.92</w:t>
            </w:r>
          </w:p>
        </w:tc>
        <w:tc>
          <w:tcPr>
            <w:tcW w:type="dxa" w:w="1020"/>
            <w:vAlign w:val="center"/>
          </w:tcPr>
          <w:p>
            <w:pPr>
              <w:spacing w:lineRule="exact" w:line="280" w:after="0"/>
              <w:jc w:val="center"/>
            </w:pPr>
            <w:r/>
            <w:r>
              <w:rPr>
                <w:b w:val="0"/>
                <w:sz w:val="16"/>
                <w:rFonts w:eastAsia="宋体" w:ascii="Times New Roman" w:hAnsi="Times New Roman"/>
              </w:rPr>
              <w:t>43</w:t>
            </w:r>
          </w:p>
        </w:tc>
        <w:tc>
          <w:tcPr>
            <w:tcW w:type="dxa" w:w="1020"/>
            <w:vAlign w:val="center"/>
          </w:tcPr>
          <w:p>
            <w:pPr>
              <w:spacing w:lineRule="exact" w:line="280" w:after="0"/>
              <w:jc w:val="center"/>
            </w:pPr>
            <w:r/>
            <w:r>
              <w:rPr>
                <w:b w:val="0"/>
                <w:sz w:val="16"/>
                <w:rFonts w:eastAsia="宋体" w:ascii="Times New Roman" w:hAnsi="Times New Roman"/>
              </w:rPr>
              <w:t>0</w:t>
            </w:r>
          </w:p>
        </w:tc>
      </w:tr>
    </w:tbl>
    <w:p>
      <w:pPr>
        <w:spacing w:lineRule="exact" w:line="400" w:after="1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vAlign w:val="center"/>
          </w:tcPr>
          <w:p>
            <w:pPr>
              <w:jc w:val="center"/>
            </w:pPr>
            <w:r>
              <w:rPr>
                <w:rFonts w:ascii="宋体" w:hAnsi="宋体" w:eastAsia="宋体"/>
                <w:sz w:val="18"/>
              </w:rPr>
              <w:t>（a）原始PCB</w:t>
            </w:r>
          </w:p>
          <w:p>
            <w:pPr>
              <w:jc w:val="center"/>
            </w:pPr>
            <w:r>
              <w:drawing>
                <wp:inline xmlns:a="http://schemas.openxmlformats.org/drawingml/2006/main" xmlns:pic="http://schemas.openxmlformats.org/drawingml/2006/picture">
                  <wp:extent cx="2514600" cy="1778508"/>
                  <wp:docPr id="14" name="Picture 14"/>
                  <wp:cNvGraphicFramePr>
                    <a:graphicFrameLocks noChangeAspect="1"/>
                  </wp:cNvGraphicFramePr>
                  <a:graphic>
                    <a:graphicData uri="http://schemas.openxmlformats.org/drawingml/2006/picture">
                      <pic:pic>
                        <pic:nvPicPr>
                          <pic:cNvPr id="0" name="01_original_pcb.png"/>
                          <pic:cNvPicPr/>
                        </pic:nvPicPr>
                        <pic:blipFill>
                          <a:blip r:embed="rId38"/>
                          <a:stretch>
                            <a:fillRect/>
                          </a:stretch>
                        </pic:blipFill>
                        <pic:spPr>
                          <a:xfrm>
                            <a:off x="0" y="0"/>
                            <a:ext cx="2514600" cy="1778508"/>
                          </a:xfrm>
                          <a:prstGeom prst="rect"/>
                        </pic:spPr>
                      </pic:pic>
                    </a:graphicData>
                  </a:graphic>
                </wp:inline>
              </w:drawing>
            </w:r>
          </w:p>
        </w:tc>
        <w:tc>
          <w:tcPr>
            <w:tcW w:type="dxa" w:w="4677"/>
            <w:vAlign w:val="center"/>
          </w:tcPr>
          <w:p>
            <w:pPr>
              <w:jc w:val="center"/>
            </w:pPr>
            <w:r>
              <w:rPr>
                <w:rFonts w:ascii="宋体" w:hAnsi="宋体" w:eastAsia="宋体"/>
                <w:sz w:val="18"/>
              </w:rPr>
              <w:t>（b）解析覆盖</w:t>
            </w:r>
          </w:p>
          <w:p>
            <w:pPr>
              <w:jc w:val="center"/>
            </w:pPr>
            <w:r>
              <w:drawing>
                <wp:inline xmlns:a="http://schemas.openxmlformats.org/drawingml/2006/main" xmlns:pic="http://schemas.openxmlformats.org/drawingml/2006/picture">
                  <wp:extent cx="2514600" cy="1191006"/>
                  <wp:docPr id="15" name="Picture 15"/>
                  <wp:cNvGraphicFramePr>
                    <a:graphicFrameLocks noChangeAspect="1"/>
                  </wp:cNvGraphicFramePr>
                  <a:graphic>
                    <a:graphicData uri="http://schemas.openxmlformats.org/drawingml/2006/picture">
                      <pic:pic>
                        <pic:nvPicPr>
                          <pic:cNvPr id="0" name="02_parse_overlay.png"/>
                          <pic:cNvPicPr/>
                        </pic:nvPicPr>
                        <pic:blipFill>
                          <a:blip r:embed="rId39"/>
                          <a:stretch>
                            <a:fillRect/>
                          </a:stretch>
                        </pic:blipFill>
                        <pic:spPr>
                          <a:xfrm>
                            <a:off x="0" y="0"/>
                            <a:ext cx="2514600" cy="1191006"/>
                          </a:xfrm>
                          <a:prstGeom prst="rect"/>
                        </pic:spPr>
                      </pic:pic>
                    </a:graphicData>
                  </a:graphic>
                </wp:inline>
              </w:drawing>
            </w:r>
          </w:p>
        </w:tc>
      </w:tr>
      <w:tr>
        <w:tc>
          <w:tcPr>
            <w:tcW w:type="dxa" w:w="4677"/>
            <w:vAlign w:val="center"/>
          </w:tcPr>
          <w:p>
            <w:pPr>
              <w:jc w:val="center"/>
            </w:pPr>
            <w:r>
              <w:rPr>
                <w:rFonts w:ascii="宋体" w:hAnsi="宋体" w:eastAsia="宋体"/>
                <w:sz w:val="18"/>
              </w:rPr>
              <w:t>（c）规则基线</w:t>
            </w:r>
          </w:p>
          <w:p>
            <w:pPr>
              <w:jc w:val="center"/>
            </w:pPr>
            <w:r>
              <w:drawing>
                <wp:inline xmlns:a="http://schemas.openxmlformats.org/drawingml/2006/main" xmlns:pic="http://schemas.openxmlformats.org/drawingml/2006/picture">
                  <wp:extent cx="2514600" cy="573786"/>
                  <wp:docPr id="16" name="Picture 16"/>
                  <wp:cNvGraphicFramePr>
                    <a:graphicFrameLocks noChangeAspect="1"/>
                  </wp:cNvGraphicFramePr>
                  <a:graphic>
                    <a:graphicData uri="http://schemas.openxmlformats.org/drawingml/2006/picture">
                      <pic:pic>
                        <pic:nvPicPr>
                          <pic:cNvPr id="0" name="02_baseline_rule.png"/>
                          <pic:cNvPicPr/>
                        </pic:nvPicPr>
                        <pic:blipFill>
                          <a:blip r:embed="rId40"/>
                          <a:stretch>
                            <a:fillRect/>
                          </a:stretch>
                        </pic:blipFill>
                        <pic:spPr>
                          <a:xfrm>
                            <a:off x="0" y="0"/>
                            <a:ext cx="2514600" cy="573786"/>
                          </a:xfrm>
                          <a:prstGeom prst="rect"/>
                        </pic:spPr>
                      </pic:pic>
                    </a:graphicData>
                  </a:graphic>
                </wp:inline>
              </w:drawing>
            </w:r>
          </w:p>
        </w:tc>
        <w:tc>
          <w:tcPr>
            <w:tcW w:type="dxa" w:w="4677"/>
            <w:vAlign w:val="center"/>
          </w:tcPr>
          <w:p>
            <w:pPr>
              <w:jc w:val="center"/>
            </w:pPr>
            <w:r>
              <w:rPr>
                <w:rFonts w:ascii="宋体" w:hAnsi="宋体" w:eastAsia="宋体"/>
                <w:sz w:val="18"/>
              </w:rPr>
              <w:t>（d）设计算法</w:t>
            </w:r>
          </w:p>
          <w:p>
            <w:pPr>
              <w:jc w:val="center"/>
            </w:pPr>
            <w:r>
              <w:drawing>
                <wp:inline xmlns:a="http://schemas.openxmlformats.org/drawingml/2006/main" xmlns:pic="http://schemas.openxmlformats.org/drawingml/2006/picture">
                  <wp:extent cx="2514600" cy="573786"/>
                  <wp:docPr id="17" name="Picture 17"/>
                  <wp:cNvGraphicFramePr>
                    <a:graphicFrameLocks noChangeAspect="1"/>
                  </wp:cNvGraphicFramePr>
                  <a:graphic>
                    <a:graphicData uri="http://schemas.openxmlformats.org/drawingml/2006/picture">
                      <pic:pic>
                        <pic:nvPicPr>
                          <pic:cNvPr id="0" name="03_algorithm_pso_congestion_reroute_astar.png"/>
                          <pic:cNvPicPr/>
                        </pic:nvPicPr>
                        <pic:blipFill>
                          <a:blip r:embed="rId41"/>
                          <a:stretch>
                            <a:fillRect/>
                          </a:stretch>
                        </pic:blipFill>
                        <pic:spPr>
                          <a:xfrm>
                            <a:off x="0" y="0"/>
                            <a:ext cx="2514600" cy="573786"/>
                          </a:xfrm>
                          <a:prstGeom prst="rect"/>
                        </pic:spPr>
                      </pic:pic>
                    </a:graphicData>
                  </a:graphic>
                </wp:inline>
              </w:drawing>
            </w:r>
          </w:p>
        </w:tc>
      </w:tr>
    </w:tbl>
    <w:p>
      <w:pPr>
        <w:jc w:val="center"/>
      </w:pPr>
      <w:r>
        <w:rPr>
          <w:rFonts w:ascii="宋体" w:hAnsi="宋体" w:eastAsia="宋体"/>
          <w:sz w:val="21"/>
        </w:rPr>
        <w:t>图 6-4 pcie test dual ww37案例独立截图对比</w:t>
      </w:r>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vAlign w:val="center"/>
          </w:tcPr>
          <w:p>
            <w:pPr>
              <w:jc w:val="center"/>
            </w:pPr>
            <w:r>
              <w:rPr>
                <w:rFonts w:ascii="宋体" w:hAnsi="宋体" w:eastAsia="宋体"/>
                <w:sz w:val="18"/>
              </w:rPr>
              <w:t>（a）原始PCB</w:t>
            </w:r>
          </w:p>
          <w:p>
            <w:pPr>
              <w:jc w:val="center"/>
            </w:pPr>
            <w:r>
              <w:drawing>
                <wp:inline xmlns:a="http://schemas.openxmlformats.org/drawingml/2006/main" xmlns:pic="http://schemas.openxmlformats.org/drawingml/2006/picture">
                  <wp:extent cx="2514600" cy="1778508"/>
                  <wp:docPr id="14" name="Picture 1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514600" cy="1778508"/>
                          </a:xfrm>
                          <a:prstGeom prst="rect"/>
                        </pic:spPr>
                      </pic:pic>
                    </a:graphicData>
                  </a:graphic>
                </wp:inline>
              </w:drawing>
            </w:r>
          </w:p>
        </w:tc>
        <w:tc>
          <w:tcPr>
            <w:tcW w:type="dxa" w:w="4677"/>
            <w:vAlign w:val="center"/>
          </w:tcPr>
          <w:p>
            <w:pPr>
              <w:jc w:val="center"/>
            </w:pPr>
            <w:r>
              <w:rPr>
                <w:rFonts w:ascii="宋体" w:hAnsi="宋体" w:eastAsia="宋体"/>
                <w:sz w:val="18"/>
              </w:rPr>
              <w:t>（b）解析覆盖</w:t>
            </w:r>
          </w:p>
          <w:p>
            <w:pPr>
              <w:jc w:val="center"/>
            </w:pPr>
            <w:r>
              <w:drawing>
                <wp:inline xmlns:a="http://schemas.openxmlformats.org/drawingml/2006/main" xmlns:pic="http://schemas.openxmlformats.org/drawingml/2006/picture">
                  <wp:extent cx="2514600" cy="1191006"/>
                  <wp:docPr id="15" name="Picture 1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514600" cy="1191006"/>
                          </a:xfrm>
                          <a:prstGeom prst="rect"/>
                        </pic:spPr>
                      </pic:pic>
                    </a:graphicData>
                  </a:graphic>
                </wp:inline>
              </w:drawing>
            </w:r>
          </w:p>
        </w:tc>
      </w:tr>
      <w:tr>
        <w:tc>
          <w:tcPr>
            <w:tcW w:type="dxa" w:w="4677"/>
            <w:vAlign w:val="center"/>
          </w:tcPr>
          <w:p>
            <w:pPr>
              <w:jc w:val="center"/>
            </w:pPr>
            <w:r>
              <w:rPr>
                <w:rFonts w:ascii="宋体" w:hAnsi="宋体" w:eastAsia="宋体"/>
                <w:sz w:val="18"/>
              </w:rPr>
              <w:t>（c）规则基线</w:t>
            </w:r>
          </w:p>
          <w:p>
            <w:pPr>
              <w:jc w:val="center"/>
            </w:pPr>
            <w:r>
              <w:drawing>
                <wp:inline xmlns:a="http://schemas.openxmlformats.org/drawingml/2006/main" xmlns:pic="http://schemas.openxmlformats.org/drawingml/2006/picture">
                  <wp:extent cx="2514600" cy="646089"/>
                  <wp:docPr id="16" name="Picture 1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514600" cy="646089"/>
                          </a:xfrm>
                          <a:prstGeom prst="rect"/>
                        </pic:spPr>
                      </pic:pic>
                    </a:graphicData>
                  </a:graphic>
                </wp:inline>
              </w:drawing>
            </w:r>
          </w:p>
        </w:tc>
        <w:tc>
          <w:tcPr>
            <w:tcW w:type="dxa" w:w="4677"/>
            <w:vAlign w:val="center"/>
          </w:tcPr>
          <w:p>
            <w:pPr>
              <w:jc w:val="center"/>
            </w:pPr>
            <w:r>
              <w:rPr>
                <w:rFonts w:ascii="宋体" w:hAnsi="宋体" w:eastAsia="宋体"/>
                <w:sz w:val="18"/>
              </w:rPr>
              <w:t>（d）设计算法</w:t>
            </w:r>
          </w:p>
          <w:p>
            <w:pPr>
              <w:jc w:val="center"/>
            </w:pPr>
            <w:r>
              <w:drawing>
                <wp:inline xmlns:a="http://schemas.openxmlformats.org/drawingml/2006/main" xmlns:pic="http://schemas.openxmlformats.org/drawingml/2006/picture">
                  <wp:extent cx="2514600" cy="646089"/>
                  <wp:docPr id="17" name="Picture 1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514600" cy="646089"/>
                          </a:xfrm>
                          <a:prstGeom prst="rect"/>
                        </pic:spPr>
                      </pic:pic>
                    </a:graphicData>
                  </a:graphic>
                </wp:inline>
              </w:drawing>
            </w:r>
          </w:p>
        </w:tc>
      </w:tr>
    </w:tbl>
    <w:p>
      <w:pPr>
        <w:jc w:val="center"/>
      </w:pPr>
      <w:r>
        <w:rPr>
          <w:rFonts w:ascii="宋体" w:hAnsi="宋体" w:eastAsia="宋体"/>
          <w:sz w:val="21"/>
        </w:rPr>
        <w:t>图 6-5 pi5 m2 hat案例独立截图对比</w:t>
      </w:r>
    </w:p>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vAlign w:val="center"/>
          </w:tcPr>
          <w:p>
            <w:pPr>
              <w:jc w:val="center"/>
            </w:pPr>
            <w:r>
              <w:rPr>
                <w:rFonts w:ascii="宋体" w:hAnsi="宋体" w:eastAsia="宋体"/>
                <w:sz w:val="18"/>
              </w:rPr>
              <w:t>（a）原始PCB</w:t>
            </w:r>
          </w:p>
          <w:p>
            <w:pPr>
              <w:jc w:val="center"/>
            </w:pPr>
            <w:r>
              <w:drawing>
                <wp:inline xmlns:a="http://schemas.openxmlformats.org/drawingml/2006/main" xmlns:pic="http://schemas.openxmlformats.org/drawingml/2006/picture">
                  <wp:extent cx="2514600" cy="1943100"/>
                  <wp:docPr id="14" name="Picture 1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514600" cy="1943100"/>
                          </a:xfrm>
                          <a:prstGeom prst="rect"/>
                        </pic:spPr>
                      </pic:pic>
                    </a:graphicData>
                  </a:graphic>
                </wp:inline>
              </w:drawing>
            </w:r>
          </w:p>
        </w:tc>
        <w:tc>
          <w:tcPr>
            <w:tcW w:type="dxa" w:w="4677"/>
            <w:vAlign w:val="center"/>
          </w:tcPr>
          <w:p>
            <w:pPr>
              <w:jc w:val="center"/>
            </w:pPr>
            <w:r>
              <w:rPr>
                <w:rFonts w:ascii="宋体" w:hAnsi="宋体" w:eastAsia="宋体"/>
                <w:sz w:val="18"/>
              </w:rPr>
              <w:t>（b）解析覆盖</w:t>
            </w:r>
          </w:p>
          <w:p>
            <w:pPr>
              <w:jc w:val="center"/>
            </w:pPr>
            <w:r>
              <w:drawing>
                <wp:inline xmlns:a="http://schemas.openxmlformats.org/drawingml/2006/main" xmlns:pic="http://schemas.openxmlformats.org/drawingml/2006/picture">
                  <wp:extent cx="2514600" cy="1191006"/>
                  <wp:docPr id="15" name="Picture 1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514600" cy="1191006"/>
                          </a:xfrm>
                          <a:prstGeom prst="rect"/>
                        </pic:spPr>
                      </pic:pic>
                    </a:graphicData>
                  </a:graphic>
                </wp:inline>
              </w:drawing>
            </w:r>
          </w:p>
        </w:tc>
      </w:tr>
      <w:tr>
        <w:tc>
          <w:tcPr>
            <w:tcW w:type="dxa" w:w="4677"/>
            <w:vAlign w:val="center"/>
          </w:tcPr>
          <w:p>
            <w:pPr>
              <w:jc w:val="center"/>
            </w:pPr>
            <w:r>
              <w:rPr>
                <w:rFonts w:ascii="宋体" w:hAnsi="宋体" w:eastAsia="宋体"/>
                <w:sz w:val="18"/>
              </w:rPr>
              <w:t>（c）规则基线</w:t>
            </w:r>
          </w:p>
          <w:p>
            <w:pPr>
              <w:jc w:val="center"/>
            </w:pPr>
            <w:r>
              <w:drawing>
                <wp:inline xmlns:a="http://schemas.openxmlformats.org/drawingml/2006/main" xmlns:pic="http://schemas.openxmlformats.org/drawingml/2006/picture">
                  <wp:extent cx="2514600" cy="1248156"/>
                  <wp:docPr id="16" name="Picture 1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514600" cy="1248156"/>
                          </a:xfrm>
                          <a:prstGeom prst="rect"/>
                        </pic:spPr>
                      </pic:pic>
                    </a:graphicData>
                  </a:graphic>
                </wp:inline>
              </w:drawing>
            </w:r>
          </w:p>
        </w:tc>
        <w:tc>
          <w:tcPr>
            <w:tcW w:type="dxa" w:w="4677"/>
            <w:vAlign w:val="center"/>
          </w:tcPr>
          <w:p>
            <w:pPr>
              <w:jc w:val="center"/>
            </w:pPr>
            <w:r>
              <w:rPr>
                <w:rFonts w:ascii="宋体" w:hAnsi="宋体" w:eastAsia="宋体"/>
                <w:sz w:val="18"/>
              </w:rPr>
              <w:t>（d）设计算法</w:t>
            </w:r>
          </w:p>
          <w:p>
            <w:pPr>
              <w:jc w:val="center"/>
            </w:pPr>
            <w:r>
              <w:drawing>
                <wp:inline xmlns:a="http://schemas.openxmlformats.org/drawingml/2006/main" xmlns:pic="http://schemas.openxmlformats.org/drawingml/2006/picture">
                  <wp:extent cx="2514600" cy="1248156"/>
                  <wp:docPr id="17" name="Picture 1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514600" cy="1248156"/>
                          </a:xfrm>
                          <a:prstGeom prst="rect"/>
                        </pic:spPr>
                      </pic:pic>
                    </a:graphicData>
                  </a:graphic>
                </wp:inline>
              </w:drawing>
            </w:r>
          </w:p>
        </w:tc>
      </w:tr>
    </w:tbl>
    <w:p>
      <w:pPr>
        <w:jc w:val="center"/>
      </w:pPr>
      <w:r>
        <w:rPr>
          <w:rFonts w:ascii="宋体" w:hAnsi="宋体" w:eastAsia="宋体"/>
          <w:sz w:val="21"/>
        </w:rPr>
        <w:t>图 6-6 usb3 ngff carrier案例独立截图对比</w:t>
      </w:r>
    </w:p>
    <w:p/>
    <w:p>
      <w:pPr>
        <w:spacing w:lineRule="exact" w:line="400" w:after="120"/>
        <w:ind w:firstLine="420"/>
      </w:pPr>
      <w:r>
        <w:rPr>
          <w:sz w:val="24"/>
          <w:rFonts w:eastAsia="宋体" w:ascii="Times New Roman" w:hAnsi="Times New Roman"/>
        </w:rPr>
        <w:t>由表 6-4 可见，在7个公开EDA案例中，规则基线的平均布通率为72.94%，设计算法的平均布通率提升至100.00%；平均尾板面积占比由72.30%降低至27.80%，平均违规数由18.57降至0.00。其中，M.2/NGFF类高密度案例对规则基线形成较强约束，而设计算法仍能通过候选筛选、PSO-Hanan布点和拥塞感知布线保持完整布通。</w:t>
      </w:r>
    </w:p>
    <w:p>
      <w:pPr>
        <w:spacing w:lineRule="exact" w:line="400" w:after="120"/>
        <w:ind w:firstLine="420"/>
      </w:pPr>
      <w:r>
        <w:rPr>
          <w:sz w:val="24"/>
          <w:rFonts w:eastAsia="宋体" w:ascii="Times New Roman" w:hAnsi="Times New Roman"/>
        </w:rPr>
        <w:t>需要说明的是，公开EDA案例用于验证公开工程文件经轻量解析后的算法适应性，实验结论属于案例化验证，不等同于企业量产板卡的设计签核。真实生产仍需结合层叠、阻抗、过孔、差分等长和制造厂规则进行进一步合法化。</w:t>
      </w:r>
    </w:p>
    <w:p w14:paraId="64408DF6">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6.4 结果分析</w:t>
      </w:r>
    </w:p>
    <w:p w14:paraId="62C908E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布通率看，最终拥塞感知算法在五组案例中均达到100%，满足开题阶段提出的布通率不低于98%的目标。基线规则方案在无障碍的前三个案例中也能完成布线，但在含障碍和面积受限案例中出现未布点或未布通问题，平均布通率为94.68%。这说明简单行列式规则对空间条件较为敏感；一旦障碍破坏规则排布或尾板高度不足，就可能无法为部分金手指找到合法测试点。优化方案通过候选过滤、PSO参数搜索和局部搜索，在障碍附近自动调整测试点位置，因此保持了完整覆盖。</w:t>
      </w:r>
    </w:p>
    <w:p w14:paraId="7CBD61AB">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从面积占比看，最终算法的平均面积占比为14.57%，明显低于基线方案的59.19%。这是因为基线方案为了满足点间距，通常沿尾板纵向均匀铺开测试点，导致测试点包围盒高度较大；优化方案根据金手指分布进行分组，并通过粒子群搜索布点参数，在保证间距的前提下压缩布点区域。对于高密度和面积受限案例，面积压缩效果尤为明显，说明协同优化对尾板尺寸控制具有实际意义。</w:t>
      </w:r>
    </w:p>
    <w:p w14:paraId="7280BE23">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从总线长看，所提拥塞感知方案平均总线长为838.60 mm，显著低于基线方案的2014.40 mm；纯PSO-Hanan方案平均线长为796.60 mm，略低于拥塞重布线方案。该差异表明，拥塞感知重布线并非单纯追求最短路径，而是在较短线长基础上为热点区域预留绕行空间。较短线长有助于节省布线资源，适度绕行则有助于缓解通道集中和后续层分配压力，二者共同构成更接近工程实际的布线质量评价。</w:t>
      </w:r>
    </w:p>
    <w:p w14:paraId="1E0CEF76">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拥塞指标看，PSO-Hanan方案的平均拥塞峰值为3.00，平均拥挤网格数为240.00；拥塞重布线方案的平均拥塞峰值为2.80，平均拥挤网格数为238.00。在中密度和面积受限案例中，动态拥塞代价有效降低了局部峰值或拥挤范围；在高密度案例中，由于测试点区域被强烈压缩，可用通道有限，重布线会出现线长增加和拥挤网格波动。该结果与网络流和蚁群布线研究中的结论一致：拥塞优化通常需要在路径长度、局部容量和布线顺序之间折中。</w:t>
      </w:r>
    </w:p>
    <w:p w14:paraId="57D6156A">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需要说明的是，本文实验属于案例化仿真验证，并不等同于企业量产板卡的最终设计签核。真实工程中还需结合具体层叠结构、过孔成本、差分阻抗、铜皮避让、测试夹具针床限制和制造厂工艺能力进行二次合法化。本文依据开题报告“收集真实案例”的要求，在未取得企业原始文件的条件下采用参数化案例替代，并在论文中明确说明数据来源边界；该处理比直接声称使用企业案例更符合学术诚信要求。尽管如此，实验结果表明，本文提出的布点布线流程能够在早期方案设计中快速给出可行解和量化指标，为后续工程细化提供可靠初始方案。</w:t>
      </w:r>
    </w:p>
    <w:p w14:paraId="03435877">
      <w:pPr>
        <w:pStyle w:val="4"/>
        <w:spacing w:lineRule="exact" w:line="400" w:after="120" w:before="200"/>
        <w:jc w:val="left"/>
        <w:rPr>
          <w:color w:val="000000" w:themeColor="text1"/>
          <w14:textFill>
            <w14:solidFill>
              <w14:schemeClr w14:val="tx1"/>
            </w14:solidFill>
          </w14:textFill>
        </w:rPr>
      </w:pPr>
      <w:r>
        <w:rPr>
          <w:b/>
          <w:sz w:val="32"/>
          <w:rFonts w:eastAsia="黑体" w:ascii="Times New Roman" w:hAnsi="Times New Roman"/>
        </w:rPr>
        <w:t>6.5 消融实验与对比有效性分析</w:t>
      </w:r>
    </w:p>
    <w:p w14:paraId="73C55301">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为了说明各个优化模块的实际贡献，本文在已有五组案例的指标表基础上增加均值层面的消融分析。基线规则方案对应人工经验式行列布点，K-means方案反映初始分组和局部优化的影响，PSO-Hanan方案反映全局参数搜索和Hanan候选点思想的影响，拥塞重布线方案则用于观察动态拥塞代价对最终布线质量的影响。</w:t>
      </w:r>
    </w:p>
    <w:p w14:paraId="5ACD2D0F">
      <w:pPr>
        <w:spacing w:before="0" w:after="120" w:line="400" w:lineRule="exact"/>
        <w:ind w:firstLine="420"/>
        <w:jc w:val="center"/>
        <w:rPr>
          <w:color w:val="000000" w:themeColor="text1"/>
          <w14:textFill>
            <w14:solidFill>
              <w14:schemeClr w14:val="tx1"/>
            </w14:solidFill>
          </w14:textFill>
        </w:rPr>
      </w:pPr>
      <w:r>
        <w:rPr>
          <w:b w:val="0"/>
          <w:sz w:val="24"/>
          <w:rFonts w:eastAsia="宋体" w:ascii="Times New Roman" w:hAnsi="Times New Roman"/>
        </w:rPr>
        <w:t>表 6-5 四类算法平均指标消融对比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5F4A8A9C">
        <w:trPr>
          <w:tblHeader/>
          <w:jc w:val="center"/>
        </w:trPr>
        <w:tc>
          <w:tcPr>
            <w:tcW w:w="1296" w:type="dxa"/>
            <w:vAlign w:val="center"/>
          </w:tcPr>
          <w:p w14:paraId="4F8D717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算法</w:t>
            </w:r>
          </w:p>
        </w:tc>
        <w:tc>
          <w:tcPr>
            <w:tcW w:w="1296" w:type="dxa"/>
            <w:vAlign w:val="center"/>
          </w:tcPr>
          <w:p w14:paraId="360A9A6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平均布通/%</w:t>
            </w:r>
          </w:p>
        </w:tc>
        <w:tc>
          <w:tcPr>
            <w:tcW w:w="1296" w:type="dxa"/>
            <w:vAlign w:val="center"/>
          </w:tcPr>
          <w:p w14:paraId="6B146CC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平均面积/%</w:t>
            </w:r>
          </w:p>
        </w:tc>
        <w:tc>
          <w:tcPr>
            <w:tcW w:w="1296" w:type="dxa"/>
            <w:vAlign w:val="center"/>
          </w:tcPr>
          <w:p w14:paraId="6EBFE3EB">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平均线长/mm</w:t>
            </w:r>
          </w:p>
        </w:tc>
        <w:tc>
          <w:tcPr>
            <w:tcW w:w="1296" w:type="dxa"/>
            <w:vAlign w:val="center"/>
          </w:tcPr>
          <w:p w14:paraId="2551C34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平均拥塞峰值</w:t>
            </w:r>
          </w:p>
        </w:tc>
        <w:tc>
          <w:tcPr>
            <w:tcW w:w="1296" w:type="dxa"/>
            <w:vAlign w:val="center"/>
          </w:tcPr>
          <w:p w14:paraId="10FFA2B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平均拥挤网格</w:t>
            </w:r>
          </w:p>
        </w:tc>
        <w:tc>
          <w:tcPr>
            <w:tcW w:w="1296" w:type="dxa"/>
            <w:vAlign w:val="center"/>
          </w:tcPr>
          <w:p w14:paraId="09C95C1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平均违规数</w:t>
            </w:r>
          </w:p>
        </w:tc>
      </w:tr>
      <w:tr w14:paraId="1BEAC0D0">
        <w:trPr>
          <w:jc w:val="center"/>
        </w:trPr>
        <w:tc>
          <w:tcPr>
            <w:tcW w:w="1296" w:type="dxa"/>
            <w:vAlign w:val="center"/>
          </w:tcPr>
          <w:p w14:paraId="57A333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基线规则</w:t>
            </w:r>
          </w:p>
        </w:tc>
        <w:tc>
          <w:tcPr>
            <w:tcW w:w="1296" w:type="dxa"/>
            <w:vAlign w:val="center"/>
          </w:tcPr>
          <w:p w14:paraId="390ED4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94.68</w:t>
            </w:r>
          </w:p>
        </w:tc>
        <w:tc>
          <w:tcPr>
            <w:tcW w:w="1296" w:type="dxa"/>
            <w:vAlign w:val="center"/>
          </w:tcPr>
          <w:p w14:paraId="5A7C2A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59.19</w:t>
            </w:r>
          </w:p>
        </w:tc>
        <w:tc>
          <w:tcPr>
            <w:tcW w:w="1296" w:type="dxa"/>
            <w:vAlign w:val="center"/>
          </w:tcPr>
          <w:p w14:paraId="1D2CD90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2014.40</w:t>
            </w:r>
          </w:p>
        </w:tc>
        <w:tc>
          <w:tcPr>
            <w:tcW w:w="1296" w:type="dxa"/>
            <w:vAlign w:val="center"/>
          </w:tcPr>
          <w:p w14:paraId="496F68FC">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3.60</w:t>
            </w:r>
          </w:p>
        </w:tc>
        <w:tc>
          <w:tcPr>
            <w:tcW w:w="1296" w:type="dxa"/>
            <w:vAlign w:val="center"/>
          </w:tcPr>
          <w:p w14:paraId="5DA9DEC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514.40</w:t>
            </w:r>
          </w:p>
        </w:tc>
        <w:tc>
          <w:tcPr>
            <w:tcW w:w="1296" w:type="dxa"/>
            <w:vAlign w:val="center"/>
          </w:tcPr>
          <w:p w14:paraId="62676AF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5.20</w:t>
            </w:r>
          </w:p>
        </w:tc>
      </w:tr>
      <w:tr w14:paraId="52C7C66D">
        <w:trPr>
          <w:jc w:val="center"/>
        </w:trPr>
        <w:tc>
          <w:tcPr>
            <w:tcW w:w="1296" w:type="dxa"/>
            <w:vAlign w:val="center"/>
          </w:tcPr>
          <w:p w14:paraId="2354DA3A">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K-means</w:t>
            </w:r>
          </w:p>
        </w:tc>
        <w:tc>
          <w:tcPr>
            <w:tcW w:w="1296" w:type="dxa"/>
            <w:vAlign w:val="center"/>
          </w:tcPr>
          <w:p w14:paraId="4012EC3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1B5FE39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15.50</w:t>
            </w:r>
          </w:p>
        </w:tc>
        <w:tc>
          <w:tcPr>
            <w:tcW w:w="1296" w:type="dxa"/>
            <w:vAlign w:val="center"/>
          </w:tcPr>
          <w:p w14:paraId="7F15AC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879.40</w:t>
            </w:r>
          </w:p>
        </w:tc>
        <w:tc>
          <w:tcPr>
            <w:tcW w:w="1296" w:type="dxa"/>
            <w:vAlign w:val="center"/>
          </w:tcPr>
          <w:p w14:paraId="0211F1CD">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4.00</w:t>
            </w:r>
          </w:p>
        </w:tc>
        <w:tc>
          <w:tcPr>
            <w:tcW w:w="1296" w:type="dxa"/>
            <w:vAlign w:val="center"/>
          </w:tcPr>
          <w:p w14:paraId="636D8DBF">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272.80</w:t>
            </w:r>
          </w:p>
        </w:tc>
        <w:tc>
          <w:tcPr>
            <w:tcW w:w="1296" w:type="dxa"/>
            <w:vAlign w:val="center"/>
          </w:tcPr>
          <w:p w14:paraId="413C536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CAF1E3F">
        <w:trPr>
          <w:jc w:val="center"/>
        </w:trPr>
        <w:tc>
          <w:tcPr>
            <w:tcW w:w="1296" w:type="dxa"/>
            <w:vAlign w:val="center"/>
          </w:tcPr>
          <w:p w14:paraId="3FDF84E1">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PSO-Hanan</w:t>
            </w:r>
          </w:p>
        </w:tc>
        <w:tc>
          <w:tcPr>
            <w:tcW w:w="1296" w:type="dxa"/>
            <w:vAlign w:val="center"/>
          </w:tcPr>
          <w:p w14:paraId="37D04625">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2E274B3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662F81B3">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796.60</w:t>
            </w:r>
          </w:p>
        </w:tc>
        <w:tc>
          <w:tcPr>
            <w:tcW w:w="1296" w:type="dxa"/>
            <w:vAlign w:val="center"/>
          </w:tcPr>
          <w:p w14:paraId="746354D7">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3.00</w:t>
            </w:r>
          </w:p>
        </w:tc>
        <w:tc>
          <w:tcPr>
            <w:tcW w:w="1296" w:type="dxa"/>
            <w:vAlign w:val="center"/>
          </w:tcPr>
          <w:p w14:paraId="25E3D3C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240.00</w:t>
            </w:r>
          </w:p>
        </w:tc>
        <w:tc>
          <w:tcPr>
            <w:tcW w:w="1296" w:type="dxa"/>
            <w:vAlign w:val="center"/>
          </w:tcPr>
          <w:p w14:paraId="3AAFCA5E">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r w14:paraId="4D0842D8">
        <w:trPr>
          <w:jc w:val="center"/>
        </w:trPr>
        <w:tc>
          <w:tcPr>
            <w:tcW w:w="1296" w:type="dxa"/>
            <w:vAlign w:val="center"/>
          </w:tcPr>
          <w:p w14:paraId="6E7DCB82">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拥塞重布线</w:t>
            </w:r>
          </w:p>
        </w:tc>
        <w:tc>
          <w:tcPr>
            <w:tcW w:w="1296" w:type="dxa"/>
            <w:vAlign w:val="center"/>
          </w:tcPr>
          <w:p w14:paraId="22388A69">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100.00</w:t>
            </w:r>
          </w:p>
        </w:tc>
        <w:tc>
          <w:tcPr>
            <w:tcW w:w="1296" w:type="dxa"/>
            <w:vAlign w:val="center"/>
          </w:tcPr>
          <w:p w14:paraId="42604B44">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14.57</w:t>
            </w:r>
          </w:p>
        </w:tc>
        <w:tc>
          <w:tcPr>
            <w:tcW w:w="1296" w:type="dxa"/>
            <w:vAlign w:val="center"/>
          </w:tcPr>
          <w:p w14:paraId="741C4C3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838.60</w:t>
            </w:r>
          </w:p>
        </w:tc>
        <w:tc>
          <w:tcPr>
            <w:tcW w:w="1296" w:type="dxa"/>
            <w:vAlign w:val="center"/>
          </w:tcPr>
          <w:p w14:paraId="517277C8">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2.80</w:t>
            </w:r>
          </w:p>
        </w:tc>
        <w:tc>
          <w:tcPr>
            <w:tcW w:w="1296" w:type="dxa"/>
            <w:vAlign w:val="center"/>
          </w:tcPr>
          <w:p w14:paraId="5E1B179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238.00</w:t>
            </w:r>
          </w:p>
        </w:tc>
        <w:tc>
          <w:tcPr>
            <w:tcW w:w="1296" w:type="dxa"/>
            <w:vAlign w:val="center"/>
          </w:tcPr>
          <w:p w14:paraId="7BAA6880">
            <w:pPr>
              <w:spacing w:before="0" w:after="120" w:line="320" w:lineRule="exact"/>
              <w:ind/>
              <w:jc w:val="center"/>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0.00</w:t>
            </w:r>
          </w:p>
        </w:tc>
      </w:tr>
    </w:tbl>
    <w:p w14:paraId="4145EB0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由表 6-5 可见，K-means和局部搜索主要贡献在于快速消除未布点和点间距违规，使平均布通率提升至100%，同时将面积占比由59.19%降低到15.50%；PSO-Hanan进一步将平均线长降低到796.60 mm，并把平均拥塞峰值降至3.00；拥塞重布线在总线长小幅增加约5.27%的情况下，将平均拥塞峰值继续降低至2.80，平均拥挤网格数降低至238.00。该结果说明，本文所提拥塞感知方案并非单一算法堆叠，而是由“布点压缩面积、全局搜索缩短线长、拥塞反馈改善通道质量”三个环节共同形成。</w:t>
      </w:r>
    </w:p>
    <w:p w14:paraId="5F786890">
      <w:pPr>
        <w:pStyle w:val="4"/>
        <w:spacing w:before="200" w:after="120" w:lineRule="exact" w:line="400"/>
        <w:jc w:val="left"/>
        <w:rPr>
          <w:color w:val="000000" w:themeColor="text1"/>
          <w14:textFill>
            <w14:solidFill>
              <w14:schemeClr w14:val="tx1"/>
            </w14:solidFill>
          </w14:textFill>
        </w:rPr>
      </w:pPr>
      <w:r>
        <w:rPr>
          <w:b/>
          <w:sz w:val="32"/>
          <w:rFonts w:eastAsia="黑体" w:ascii="Times New Roman" w:hAnsi="Times New Roman"/>
        </w:rPr>
        <w:t>6.6 参数与工程适用性讨论</w:t>
      </w:r>
    </w:p>
    <w:p w14:paraId="7024C36E">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网格步长是影响算法效果的重要参数。较小的网格步长能够提供更多候选点，使测试点位置和布线路径更加灵活，但会增加候选规模和A*搜索节点数量；较大的网格步长可以提高运行速度，却可能因为候选点过少导致局部区域无法满足间距约束。本文实验统一采用1.0 mm网格，是在测试点最小间距约2.0 mm条件下的折中选择。若面向更高密度金手指或更精细的制造规则，可将网格步长缩小至0.5 mm，并通过分区搜索或多线程搜索控制运行时间。</w:t>
      </w:r>
    </w:p>
    <w:p w14:paraId="3486C410">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测试点最小间距直接决定尾板面积需求。间距越大，探针接触越稳定，但同等引脚数量下需要更大的尾板区域；间距越小，面积利用率提高，但制造公差和测试可靠性风险增加。本文在普通案例中采用2.0 mm，在面积受限案例中采用1.8 mm，用于模拟不同夹具能力下的设计取舍。实际工程中，该参数应由测试设备针径、针床加工能力和被测板工艺共同确定，算法只负责在给定规则下寻找尽可能优的方案。</w:t>
      </w:r>
    </w:p>
    <w:p w14:paraId="07A5D68F">
      <w:pPr>
        <w:spacing w:before="0" w:after="120" w:line="400" w:lineRule="exact"/>
        <w:ind w:firstLine="420"/>
        <w:jc w:val="both"/>
        <w:rPr>
          <w:color w:val="000000" w:themeColor="text1"/>
          <w14:textFill>
            <w14:solidFill>
              <w14:schemeClr w14:val="tx1"/>
            </w14:solidFill>
          </w14:textFill>
        </w:rPr>
      </w:pPr>
      <w:r>
        <w:rPr>
          <w:rFonts w:ascii="Times New Roman" w:hAnsi="Times New Roman" w:eastAsia="宋体"/>
          <w:b w:val="0"/>
          <w:color w:val="000000" w:themeColor="text1"/>
          <w:sz w:val="24"/>
          <w14:textFill>
            <w14:solidFill>
              <w14:schemeClr w14:val="tx1"/>
            </w14:solidFill>
          </w14:textFill>
        </w:rPr>
        <w:t>障碍区的处理体现了测试尾板设计的工程复杂性。障碍可能来自固定孔、夹具压块、已有器件、禁布铜区域或板边工艺槽。若人工设计忽略障碍，后续布线阶段很容易出现返工。本文通过在候选点生成和A*搜索中同时外扩障碍区域，使布点和布线共享同一规则库，避免出现测试点合法但路径不可达的矛盾。该机制也说明布点算法不能只追求点位紧凑，还必须与布线可达性共同设计。</w:t>
      </w:r>
    </w:p>
    <w:p w14:paraId="28D6DCAC">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从答辩和工程演示角度看，命令行原型具有较强的可复现优势。评审者可以直接运行同一案例文件，查看CSV指标和SVG布局，而不依赖不可验证的截图。虽然图形界面更直观，但毕业设计阶段更重要的是证明模型、算法和数据闭环成立。当前工程保留了清晰的数据结构和输出接口，后续若加入Qt界面，只需在现有结果基础上增加渲染层，无需重写核心算法。</w:t>
      </w:r>
    </w:p>
    <w:p w14:paraId="5CACF02E">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7 总结与展望</w:t>
      </w:r>
    </w:p>
    <w:p w14:paraId="2E6DBEDB">
      <w:pPr>
        <w:pStyle w:val="4"/>
        <w:spacing w:before="200" w:after="120" w:lineRule="exact" w:line="400"/>
        <w:jc w:val="left"/>
        <w:rPr>
          <w:color w:val="000000" w:themeColor="text1"/>
          <w14:textFill>
            <w14:solidFill>
              <w14:schemeClr w14:val="tx1"/>
            </w14:solidFill>
          </w14:textFill>
        </w:rPr>
      </w:pPr>
      <w:r>
        <w:rPr>
          <w:rFonts w:ascii="Times New Roman" w:hAnsi="Times New Roman" w:eastAsia="黑体"/>
          <w:b/>
          <w:color w:val="000000" w:themeColor="text1"/>
          <w:sz w:val="32"/>
          <w14:textFill>
            <w14:solidFill>
              <w14:schemeClr w14:val="tx1"/>
            </w14:solidFill>
          </w14:textFill>
        </w:rPr>
        <w:t>7.1 工作总结</w:t>
      </w:r>
    </w:p>
    <w:p>
      <w:pPr>
        <w:spacing w:lineRule="exact" w:line="400" w:after="120" w:before="0"/>
        <w:ind w:firstLine="420"/>
      </w:pPr>
      <w:r>
        <w:rPr>
          <w:b w:val="0"/>
          <w:sz w:val="24"/>
          <w:rFonts w:eastAsia="宋体" w:ascii="Times New Roman" w:hAnsi="Times New Roman"/>
        </w:rPr>
        <w:t>按照学校管理办法关于资料归档的要求，本课题形成了可归档的成果集合：毕业论文DOCX/PDF、C++17源代码工程、参数化案例CSV、公开EDA案例抽取数据、实验指标summary.csv、布线SVG/PNG截图、KiCad CLI导出原始PCB图以及实验报告。这些材料能够支撑答辩中对任务完成情况、理论依据、程序运行和数据可靠性的逐项说明。</w:t>
      </w:r>
    </w:p>
    <w:p w14:paraId="084E2C98">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针对PCB金手指测试尾板设计中布点布线自动化程度不足的问题，完成了从需求分析、约束建模、算法设计、系统实现到实验验证的完整研究。论文分析了金手指结构特点和测试尾板设计约束，建立了候选点、测试点、障碍区、网格路径和实验指标等模型；提出了规则网格候选生成、K-means初始分组、禁忌搜索局部优化和A*网格布线相结合的协同优化方法；基于C++17实现了可运行命令行原型，并输出CSV指标和SVG可视化结果。五组仿真实验显示，优化方案能够实现完整覆盖和完整布通，同时显著降低测试点区域面积和总线长，达到了毕业设计任务中对算法功能验证和性能评估的要求。</w:t>
      </w:r>
    </w:p>
    <w:p w14:paraId="793AB985">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对照任务书六项主要要求，本文完成情况如下：第一，完成了不少于15篇文献的调研，并补充近五年英文文献作为算法发展趋势依据；第二，在缺少企业原始PCB文件的条件下，构建了符合真实应用约束的五组金手指测试尾板案例，并明确测试点间距、障碍避让、网格步长和评价指标；第三，完成布点布线算法框架设计，覆盖候选点生成、聚类分组、禁忌局部搜索、PSO-Hanan布点、A*搜索和拥塞重布线；第四，完成C++17核心代码实现，程序可通过Makefile或CMake构建并批量生成结果；第五，完成规则基线与三类优化方案的对比实验，并从布通率、面积、线长、拥塞和违规数进行量化分析；第六，基于最新实验数据完成论文正文、图表和参考文献整理，正文字数达到本科毕业论文要求。</w:t>
      </w:r>
    </w:p>
    <w:p w14:paraId="1DF507F1">
      <w:pPr>
        <w:pStyle w:val="4"/>
        <w:spacing w:before="200" w:after="120" w:lineRule="exact" w:line="400"/>
        <w:jc w:val="left"/>
        <w:rPr>
          <w:color w:val="000000" w:themeColor="text1"/>
          <w14:textFill>
            <w14:solidFill>
              <w14:schemeClr w14:val="tx1"/>
            </w14:solidFill>
          </w14:textFill>
        </w:rPr>
      </w:pPr>
      <w:commentRangeStart w:id="3"/>
      <w:r>
        <w:rPr>
          <w:rFonts w:ascii="Times New Roman" w:hAnsi="Times New Roman" w:eastAsia="黑体"/>
          <w:b/>
          <w:color w:val="000000" w:themeColor="text1"/>
          <w:sz w:val="32"/>
          <w14:textFill>
            <w14:solidFill>
              <w14:schemeClr w14:val="tx1"/>
            </w14:solidFill>
          </w14:textFill>
        </w:rPr>
        <w:t>7.2 不足与展望</w:t>
      </w:r>
      <w:commentRangeEnd w:id="3"/>
      <w:r>
        <w:rPr>
          <w:rStyle w:val="CommentReference"/>
        </w:rPr>
        <w:commentReference w:id="3"/>
      </w:r>
    </w:p>
    <w:p w14:paraId="6100FF0F">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已完成公开KiCad原生板文件、Gerber层文件和Excellon/DRL钻孔文件的轻量级解析，并形成从公开EDA文件到算法CSV输入、布点布线结果和可视化证据的实验闭环。受本科毕业设计周期和公开数据条件限制，当前解析仍以公开工程和轻量制造文件字段为主，工业级交换格式、完整DRC约束和多层制造规则仍需在后续研究中进一步扩展。</w:t>
      </w:r>
    </w:p>
    <w:p w14:paraId="30A70EB7">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文参考文献在开题报告和阶段性报告列出的必读文献基础上，补充了已上传的中文硕士论文和工程资料，并对部分文献名称、作者、出版年限和电子文献访问日期进行了统一。参考文献编号在正文中按首次出现和主题关联进行引用，所有列入文后的文献均在正文、表格或算法说明中设置对应引文标识，以保证文献综述、模型章节、算法章节和实验章节之间形成对应关系。</w:t>
      </w:r>
    </w:p>
    <w:p w14:paraId="29A9E272">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参考文献</w:t>
      </w:r>
    </w:p>
    <w:p w14:paraId="4A20B15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 KHALIL E H, EL-MAHLAWY M H, IBRAHIM F, et al. Design for testability of circuits and systems: an overview[C]//Proceedings of the 5th International Conference on Electrical Engineering. Cairo: Military Technical College, 2006: 1-24.</w:t>
      </w:r>
    </w:p>
    <w:p w14:paraId="524451B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 SHI Z, LI M, KHAN S, et al. DeepTPI: test point insertion with deep reinforcement learning[C]//2022 IEEE International Test Conference (ITC). Piscataway: IEEE, 2022: 194-203.</w:t>
      </w:r>
    </w:p>
    <w:p w14:paraId="111FD4E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[3] YANG J S, NADEAU-DOSTIE B, TOUBA N A. Test point insertion using functional flip-flops to drive control points[C]//2009 International Test Conference. Piscataway: IEEE, 2009: 1-10.</w:t>
      </w:r>
    </w:p>
    <w:p w14:paraId="2FED36E5">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[4] YAN T, MA Q, WONG M D F. Advances in PCB routing[J]. IPSJ Transactions on System and LSI Design Methodology, 2012, 5: 14-22.</w:t>
      </w:r>
    </w:p>
    <w:p w14:paraId="06C3D26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[5] CHEN C, TONG X, LIU Q, et al. Legalized routing algorithm based on linear programming[J]. Electronics, 2023, 12(20): 4338.</w:t>
      </w:r>
    </w:p>
    <w:p w14:paraId="4A0CB7A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[6] ZHAO D, ZHU Y, WANG L, et al. NS-Place: PCB placement with neural net separation[J/OL]. arXiv preprint arXiv:2212.01162, 2022.</w:t>
      </w:r>
    </w:p>
    <w:p w14:paraId="00DF0FE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[7] MARTINS R M F. A survey of machine and deep learning techniques in analog integrated circuit layout synthesis[J]. Microelectronics, 2025, 1(1): 2.</w:t>
      </w:r>
    </w:p>
    <w:p w14:paraId="6A8533D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[8] LEE C Y. An algorithm for path connections and its applications[J]. IRE Transactions on Electronic Computers, 1961, EC-10(3): 346-365.</w:t>
      </w:r>
    </w:p>
    <w:p w14:paraId="4D8C0E58">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[9] HIGHTOWER D W. A solution to line-routing problems on the continuous plane[C]//Proceedings of the 6th Annual Design Automation Conference. New York: ACM, 1969: 1-24.</w:t>
      </w:r>
    </w:p>
    <w:p w14:paraId="2DED9100">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[10] SOUKUP J. Fast maze router[C]//Proceedings of the 15th Design Automation Conference. Piscataway: IEEE, 1978: 100-102.</w:t>
      </w:r>
    </w:p>
    <w:p w14:paraId="40E31A52">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[11] HADLOCK F O. A shortest path algorithm for grid graphs[J]. Networks, 1977, 7(4): 323-334.</w:t>
      </w:r>
    </w:p>
    <w:p w14:paraId="526891C3">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[12] LIN Y, LI M, KHAILANY B, et al. DREAMPlace: deep learning toolkit-enabled GPU acceleration for modern VLSI placement[C]//Proceedings of the 56th Annual Design Automation Conference. New York: ACM, 2019: 1-6.</w:t>
      </w:r>
    </w:p>
    <w:p w14:paraId="17250514">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[13] IPC. IPC-2221B: Generic standard on printed board design[S]. Bannockburn: IPC, 2012.</w:t>
      </w:r>
    </w:p>
    <w:p w14:paraId="5A62FA6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[14] IPC. IPC-A-600: Acceptability of printed boards[S]. Bannockburn: IPC, 2020.</w:t>
      </w:r>
    </w:p>
    <w:p w14:paraId="4A62645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[15] 李晓欣. PCB自动布局布线器的设计与实现[D]. 天津: 天津科技大学, 2023.</w:t>
      </w:r>
    </w:p>
    <w:p w14:paraId="6250F00B">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[16] 王磊. 基于元胞自动机和蚁群算法的PCB布局布线协同优化研究[D]. 西安: 西安电子科技大学, 2019.</w:t>
      </w:r>
    </w:p>
    <w:p w14:paraId="40949B69">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[17] 胡木森. 基于网络流的高性能PCB自动布线算法研究与设计[D]. 成都: 电子科技大学, 2024.</w:t>
      </w:r>
    </w:p>
    <w:p w14:paraId="1FC27706">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[18] 刘自铭. 基于蚁群算法的多层印刷电路板布线研究[D]. 西安: 西安电子科技大学, 2024.</w:t>
      </w:r>
    </w:p>
    <w:p w14:paraId="498DBE0E">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[19] 郑杰. 基于PCB布线领域模型的电子线路自动布线方法的设计[D]. 成都: 电子科技大学, 2025.</w:t>
      </w:r>
    </w:p>
    <w:p w14:paraId="568AF6E7">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[20] 白胜泷. 基于Transformer的PCB自动布线算法[D]. 成都: 电子科技大学, 2025.</w:t>
      </w:r>
    </w:p>
    <w:p w14:paraId="7A05C2CA">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[21] PCBCart. Guide to PCB gold fingers[EB/OL]. [2026-05-14]. https://www.pcbcart.com/article/content/guide-to-pcb-gold-fingers.html.</w:t>
      </w:r>
    </w:p>
    <w:p w14:paraId="3CD6DADD">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[22] WellPCB. The complete guide to gold finger PCB manufacturing[EB/OL]. [2026-05-14]. https://www.wellpcb.com/gold-finger-pcb.html.</w:t>
      </w:r>
    </w:p>
    <w:p w14:paraId="06E72321">
      <w:pPr>
        <w:spacing w:before="0" w:after="120" w:line="400" w:lineRule="exact"/>
        <w:jc w:val="left"/>
        <w:rPr>
          <w:color w:val="000000" w:themeColor="text1"/>
          <w14:textFill>
            <w14:solidFill>
              <w14:schemeClr w14:val="tx1"/>
            </w14:solidFill>
          </w14:textFill>
        </w:rPr>
      </w:pPr>
      <w:r>
        <w:rPr>
          <w:rFonts w:ascii="Times New Roman" w:hAnsi="Times New Roman" w:eastAsia="宋体"/>
          <w:b w:val="0"/>
          <w:color w:val="000000" w:themeColor="text1"/>
          <w:sz w:val="21"/>
          <w14:textFill>
            <w14:solidFill>
              <w14:schemeClr w14:val="tx1"/>
            </w14:solidFill>
          </w14:textFill>
        </w:rPr>
        <w:t>[23] NexPCB. Design for excellence[EB/OL]. [2026-05-14]. https://knowledgebase.nexpcb.com/articles/DFX//.</w:t>
      </w:r>
    </w:p>
    <w:p w14:paraId="1E4EB87D">
      <w:pPr>
        <w:pStyle w:val="3"/>
        <w:pageBreakBefore/>
        <w:spacing w:before="200" w:after="200" w:lineRule="exact" w:line="400"/>
        <w:jc w:val="center"/>
        <w:rPr>
          <w:color w:val="000000" w:themeColor="text1"/>
          <w14:textFill>
            <w14:solidFill>
              <w14:schemeClr w14:val="tx1"/>
            </w14:solidFill>
          </w14:textFill>
        </w:rPr>
      </w:pPr>
      <w:r>
        <w:rPr>
          <w:rFonts w:ascii="Times New Roman" w:hAnsi="Times New Roman" w:eastAsia="黑体"/>
          <w:b/>
          <w:color w:val="000000" w:themeColor="text1"/>
          <w:sz w:val="36"/>
          <w14:textFill>
            <w14:solidFill>
              <w14:schemeClr w14:val="tx1"/>
            </w14:solidFill>
          </w14:textFill>
        </w:rPr>
        <w:t>致谢</w:t>
      </w:r>
    </w:p>
    <w:p w14:paraId="13E05B5D">
      <w:pPr>
        <w:spacing w:before="0" w:after="120" w:line="400" w:lineRule="exact"/>
        <w:ind w:firstLine="420"/>
        <w:jc w:val="both"/>
        <w:rPr>
          <w:color w:val="000000" w:themeColor="text1"/>
          <w14:textFill>
            <w14:solidFill>
              <w14:schemeClr w14:val="tx1"/>
            </w14:solidFill>
          </w14:textFill>
        </w:rPr>
      </w:pPr>
      <w:r>
        <w:rPr>
          <w:b w:val="0"/>
          <w:sz w:val="24"/>
          <w:rFonts w:eastAsia="宋体" w:ascii="Times New Roman" w:hAnsi="Times New Roman"/>
        </w:rPr>
        <w:t>本课题从选题、资料调研、算法设计到论文撰写，得到了指导教师和同学的悉心帮助。感谢指导教师在研究方向、技术路线和论文结构方面给予的指导，也感谢学院提供的学习环境和实验条件。通过本次毕业设计，作者进一步理解了PCB可测性设计、自动布点布线算法和工程化实现之间的联系，提升了独立分析问题、编写程序和整理技术文档的能力。</w:t>
      </w:r>
    </w:p>
    <w:sectPr>
      <w:headerReference r:id="rId6" w:type="default"/>
      <w:footerReference r:id="rId7" w:type="default"/>
      <w:pgSz w:w="11906" w:h="16838"/>
      <w:pgMar w:top="1417" w:right="1134" w:bottom="1134" w:left="1417" w:header="1474" w:footer="1361" w:gutter="0"/>
      <w:cols w:space="720" w:num="1"/>
      <w:docGrid w:linePitch="360" w:charSpace="0"/>
      <w:pgNumType w:fmt="decimal" w:start="1"/>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整合审阅" w:initials="CX" w:date="2026-05-16T17:00:07Z">
    <w:p>
      <w:pPr>
        <w:pStyle w:val="CommentText"/>
      </w:pPr>
      <w:r>
        <w:rPr>
          <w:rStyle w:val="CommentReference"/>
        </w:rPr>
        <w:annotationRef/>
      </w:r>
      <w:r>
        <w:t>本节为本次整合新增内容，来源于补充稿、tools/eda_case_experiments.py、data/eda_cases/*.csv 和 results/eda_cases/*。正文强调公开EDA文件的轻量级解析，避免夸大为企业级完整EDA导入。</w:t>
      </w:r>
    </w:p>
  </w:comment>
  <w:comment w:id="1" w:author="Codex 整合审阅" w:initials="CX" w:date="2026-05-16T17:00:07Z">
    <w:p>
      <w:pPr>
        <w:pStyle w:val="CommentText"/>
      </w:pPr>
      <w:r>
        <w:rPr>
          <w:rStyle w:val="CommentReference"/>
        </w:rPr>
        <w:annotationRef/>
      </w:r>
      <w:r>
        <w:t>本节用7个公开EDA案例替换旧版4个KiCad案例，指标来自 results/eda_cases/summary.csv；平均布通率、面积占比和违规数均按CSV直接汇总。</w:t>
      </w:r>
    </w:p>
  </w:comment>
  <w:comment w:id="2" w:author="Codex 整合审阅" w:initials="CX" w:date="2026-05-16T17:00:07Z">
    <w:p>
      <w:pPr>
        <w:pStyle w:val="CommentText"/>
      </w:pPr>
      <w:r>
        <w:rPr>
          <w:rStyle w:val="CommentReference"/>
        </w:rPr>
        <w:annotationRef/>
      </w:r>
      <w:r>
        <w:t>该图选用高密度M.2案例作为代表，可展示规则基线失效和设计算法布通的差异；其余案例可在答辩材料或附录中展开。</w:t>
      </w:r>
    </w:p>
  </w:comment>
  <w:comment w:id="3" w:author="Codex 整合审阅" w:initials="CX" w:date="2026-05-16T17:00:07Z">
    <w:p>
      <w:pPr>
        <w:pStyle w:val="CommentText"/>
      </w:pPr>
      <w:r>
        <w:rPr>
          <w:rStyle w:val="CommentReference"/>
        </w:rPr>
        <w:annotationRef/>
      </w:r>
      <w:r>
        <w:t>正文已按用户要求压缩不足表述。可在答辩或后续修改中补充说明：ODB++/IPC-2581、层叠与过孔成本、差分阻抗、制造厂完整DRC、真实企业数据验证、GUI可视化和学习型线序优化等仍属于后续扩展方向。</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DE69">
    <w:pPr>
      <w:jc w:val="center"/>
    </w:pPr>
    <w:r>
      <w:rPr>
        <w:b w:val="0"/>
        <w:sz w:val="21"/>
        <w:rFonts w:eastAsia="宋体" w:ascii="Times New Roman" w:hAnsi="Times New Roman"/>
      </w:rPr>
      <w:fldChar w:fldCharType="begin"/>
      <w:instrText xml:space="preserve">PAGE \* roman</w:instrText>
      <w:fldChar w:fldCharType="separate"/>
      <w:t>i</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8718">
    <w:pPr>
      <w:jc w:val="center"/>
    </w:pPr>
    <w:r>
      <w:rPr>
        <w:b w:val="0"/>
        <w:sz w:val="21"/>
        <w:rFonts w:eastAsia="宋体" w:ascii="Times New Roman" w:hAnsi="Times New Roman"/>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DE58A">
    <w:pPr>
      <w:jc w:val="center"/>
    </w:pPr>
    <w:r>
      <w:rPr>
        <w:b w:val="0"/>
        <w:sz w:val="21"/>
        <w:rFonts w:eastAsia="宋体" w:ascii="Times New Roman" w:hAnsi="Times New Roman"/>
      </w:rPr>
      <w:t>武汉理工大学本科毕业设计（论文）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9EE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0" w:lineRule="exact"/>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180" w:after="180" w:line="400" w:lineRule="exact"/>
      <w:jc w:val="center"/>
      <w:outlineLvl w:val="0"/>
    </w:pPr>
    <w:rPr>
      <w:rFonts w:asciiTheme="majorHAnsi" w:hAnsiTheme="majorHAnsi" w:eastAsiaTheme="majorEastAsia" w:cstheme="majorBidi" w:ascii="黑体" w:hAnsi="黑体" w:eastAsia="黑体"/>
      <w:b/>
      <w:bCs/>
      <w:color w:val="376092" w:themeColor="accent1" w:themeShade="BF"/>
      <w:sz w:val="36"/>
      <w:szCs w:val="28"/>
    </w:rPr>
  </w:style>
  <w:style w:type="paragraph" w:styleId="4">
    <w:name w:val="heading 2"/>
    <w:basedOn w:val="1"/>
    <w:next w:val="1"/>
    <w:link w:val="139"/>
    <w:unhideWhenUsed/>
    <w:qFormat/>
    <w:uiPriority w:val="9"/>
    <w:pPr>
      <w:keepNext/>
      <w:keepLines/>
      <w:spacing w:before="180" w:after="180" w:line="400" w:lineRule="exact"/>
      <w:jc w:val="left"/>
      <w:outlineLvl w:val="1"/>
    </w:pPr>
    <w:rPr>
      <w:rFonts w:asciiTheme="majorHAnsi" w:hAnsiTheme="majorHAnsi" w:eastAsiaTheme="majorEastAsia" w:cstheme="majorBidi" w:ascii="黑体" w:hAnsi="黑体" w:eastAsia="黑体"/>
      <w:b/>
      <w:bCs/>
      <w:color w:val="4F81BD" w:themeColor="accent1"/>
      <w:sz w:val="3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eader" Target="header2.xml"/><Relationship Id="rId25" Type="http://schemas.openxmlformats.org/officeDocument/2006/relationships/footer" Target="footer3.xml"/><Relationship Id="rId26" Type="http://schemas.openxmlformats.org/officeDocument/2006/relationships/header" Target="header3.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comments" Target="comments.xml"/><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刘政</cp:lastModifiedBy>
  <dcterms:modified xsi:type="dcterms:W3CDTF">2026-05-14T16:54:45Z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F66FEF6EA0D3BCFCD58D056A563B48A7_42</vt:lpwstr>
  </property>
</Properties>
</file>