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武汉理工大学</w:t>
      </w:r>
    </w:p>
    <w:p w14:paraId="0CF04AF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本科毕业设计（论文）</w:t>
      </w:r>
    </w:p>
    <w:p w14:paraId="127F74C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学院</w:t>
            </w:r>
          </w:p>
        </w:tc>
        <w:tc>
          <w:tcPr>
            <w:tcW w:w="5102" w:type="dxa"/>
            <w:vAlign w:val="center"/>
          </w:tcPr>
          <w:p w14:paraId="39C1C6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专业</w:t>
            </w:r>
          </w:p>
        </w:tc>
        <w:tc>
          <w:tcPr>
            <w:tcW w:w="5102" w:type="dxa"/>
            <w:vAlign w:val="center"/>
          </w:tcPr>
          <w:p w14:paraId="36E854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班级</w:t>
            </w:r>
          </w:p>
        </w:tc>
        <w:tc>
          <w:tcPr>
            <w:tcW w:w="5102" w:type="dxa"/>
            <w:vAlign w:val="center"/>
          </w:tcPr>
          <w:p w14:paraId="29D8E2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120" w:line="320" w:lineRule="exact"/>
              <w:jc w:val="center"/>
              <w:rPr>
                <w:color w:val="000000" w:themeColor="text1"/>
                <w14:textFill>
                  <w14:solidFill>
                    <w14:schemeClr w14:val="tx1"/>
                  </w14:solidFill>
                </w14:textFill>
              </w:rPr>
            </w:pPr>
          </w:p>
        </w:tc>
        <w:tc>
          <w:tcPr>
            <w:tcW w:w="5102" w:type="dxa"/>
            <w:vAlign w:val="center"/>
          </w:tcPr>
          <w:p w14:paraId="6E5D7733">
            <w:pPr>
              <w:spacing w:before="0" w:after="120" w:line="320" w:lineRule="exact"/>
              <w:jc w:val="center"/>
              <w:rPr>
                <w:color w:val="000000" w:themeColor="text1"/>
                <w14:textFill>
                  <w14:solidFill>
                    <w14:schemeClr w14:val="tx1"/>
                  </w14:solidFill>
                </w14:textFill>
              </w:rPr>
            </w:pPr>
          </w:p>
        </w:tc>
      </w:tr>
    </w:tbl>
    <w:p w14:paraId="01E3081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2CC7D4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作者签名：                       年    月    日</w:t>
      </w:r>
    </w:p>
    <w:p w14:paraId="1FA7B530">
      <w:pPr>
        <w:spacing w:before="0" w:after="120" w:line="400" w:lineRule="exact"/>
        <w:ind w:firstLine="420"/>
        <w:jc w:val="both"/>
        <w:rPr>
          <w:color w:val="000000" w:themeColor="text1"/>
          <w14:textFill>
            <w14:solidFill>
              <w14:schemeClr w14:val="tx1"/>
            </w14:solidFill>
          </w14:textFill>
        </w:rPr>
        <w:sectPr>
          <w:headerReference w:type="default" r:id="rId24"/>
          <w:footerReference w:type="default" r:id="rId25"/>
          <w:pgSz w:w="11906" w:h="16838"/>
          <w:pgMar w:top="1417" w:right="1134" w:bottom="1134" w:left="1417" w:header="1474" w:footer="1361" w:gutter="0"/>
          <w:cols w:space="720" w:num="1"/>
          <w:docGrid w:linePitch="360" w:charSpace="0"/>
        </w:sectPr>
      </w:pPr>
      <w:r>
        <w:rPr>
          <w:rFonts w:ascii="Times New Roman" w:hAnsi="Times New Roman" w:eastAsia="宋体"/>
          <w:b w:val="0"/>
          <w:color w:val="000000" w:themeColor="text1"/>
          <w:sz w:val="24"/>
          <w14:textFill>
            <w14:solidFill>
              <w14:schemeClr w14:val="tx1"/>
            </w14:solidFill>
          </w14:textFill>
        </w:rPr>
        <w:t>指导教师签名：                   年    月    日</w:t>
      </w:r>
    </w:p>
    <w:p w14:paraId="79B224D7">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黑体" w:ascii="Times New Roman" w:hAnsi="Times New Roman"/>
        </w:rPr>
        <w:t>摘  要</w:t>
      </w:r>
    </w:p>
    <w:p w14:paraId="2EFFC55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金手指是板卡与外部设备、测试夹具及扩展接口实现电气连接的关键边缘接口，具有端子密度高、边缘空间受限、信号类型混合和接触可靠性要求高等特点。针对生产测试阶段人工布点布线效率较低、局部通道易拥塞和尾板面积利用不足等问题，本文面向PCB金手指测试尾板构建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在五组参数化案例中，所提方法均实现100%覆盖率与100%布通率，平均尾板面积占比由基线方案的59.19%降低至14.57%，平均总线长由2014.40 mm降低至838.60 mm。本文还补充公开EDA文件解析流程，将KiCad原生板文件、Gerber层文件和Excellon钻孔文件中的端子、板框及制造信息转换为算法CSV输入，并在7个公开EDA案例中完成验证。结果显示，设计算法将平均布通率由72.94%提升至100.00%，平均尾板面积占比由72.30%降低至27.80%。研究结果表明，所提方法能够为金手指测试尾板自动化设计提供可解释、可复现的算法基础。</w:t>
      </w:r>
    </w:p>
    <w:p w14:paraId="2C1967A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关键词：PCB金手指；测试尾板；布点布线；拥塞感知；A*算法</w:t>
      </w:r>
    </w:p>
    <w:p w14:paraId="1B17B0DB">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733BC8CD">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Times New Roman" w:ascii="Times New Roman" w:hAnsi="Times New Roman"/>
        </w:rPr>
        <w:t>Abstract</w:t>
      </w:r>
    </w:p>
    <w:p w14:paraId="088E449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Times New Roman"/>
          <w:sz w:val="24"/>
        </w:rPr>
        <w:t>PCB gold fingers are dense edge contacts used for board-level interconnection, fixture contact, and functional testing. A test tailboard must place accessible test pads in a constrained extension region and route each gold-finger terminal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Five parameterized cases show that the proposed scheme achieves full pad coverage and full routability; compared with the rule-based baseline, the average occupied tailboard-area ratio is reduced from 59.19% to 14.57%, and the average total routing length is reduced from 2014.40 mm to 838.60 mm. Furthermore, this thesis supplements a public EDA-file parsing workflow that converts KiCad board files, Gerber layers, and Excellon drill files into algorithmic CSV inputs. The workflow extracts connector candidates, pad coordinates, board outlines, layer-file statistics, and drill-hit information, thereby linking open-source EDA projects with the same placement-and-routing engine used in the parameterized experiments. Seven public EDA cases are used for case-based validation. The results show that the average routability is improved from 72.94% to 100.00%, while the average occupied tailboard-area ratio is reduced from 72.30% to 27.80%. The study provides an interpretable and reproducible algorithmic basis for automated test-tailboard design and later integration into domestic EDA toolchains.</w:t>
      </w:r>
    </w:p>
    <w:p w14:paraId="3E21446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9C6946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 绪论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1.1 研究背景</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1.2 国内外研究现状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1.3 研究内容与论文结构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1.4 任务书要求与完成情况</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1.5 本文创新点</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 相关理论与约束建模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2.1 PCB金手指与测试尾板结构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2.2 布点布线数学模型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2.4 约束优先级与合法性判定</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2.5 文献理论到本文模型的转化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 测试点布点算法设计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3.1 候选点生成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3.2 K-means初始分组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3.3 禁忌搜索局部优化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3.4 改进后的布点目标函数与步骤</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 布线算法与协同优化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4.1 A*网格布线</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4.2 布点布线协同优化机制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4.3 拥塞感知与拆线重布策略</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4.4 分层布线与重布线改进流程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 系统实现</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5.1 工程结构与运行方式</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5.2 输出文件说明</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5.3 关键函数与数据流</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5.4 真实EDA文件解析流程</w:t>
        <w:tab/>
        <w:t>15</w:t>
      </w:r>
    </w:p>
    <w:p w14:paraId="0B7DED8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5.5 文献支撑下的代码模块对应关系</w:t>
        <w:tab/>
        <w:t>16</w:t>
      </w:r>
    </w:p>
    <w:p w14:paraId="3D2BDD5A">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6 实验结果与分析</w:t>
        <w:tab/>
        <w:t>17</w:t>
      </w:r>
    </w:p>
    <w:p w14:paraId="5F07FAA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6.1 实验设置</w:t>
        <w:tab/>
        <w:t>17</w:t>
      </w:r>
    </w:p>
    <w:p w14:paraId="2C22927E">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6.2 指标结果</w:t>
        <w:tab/>
        <w:t>17</w:t>
      </w:r>
    </w:p>
    <w:p w14:paraId="622FAA2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6.3 公开EDA案例化验证</w:t>
        <w:tab/>
        <w:t>18</w:t>
      </w:r>
    </w:p>
    <w:p w14:paraId="68DB9CA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6.4 结果分析</w:t>
        <w:tab/>
        <w:t>20</w:t>
      </w:r>
    </w:p>
    <w:p w14:paraId="4748362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6.5 消融实验与对比有效性分析</w:t>
        <w:tab/>
        <w:t>21</w:t>
      </w:r>
    </w:p>
    <w:p w14:paraId="53D7300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6.6 参数与工程适用性讨论</w:t>
        <w:tab/>
        <w:t>22</w:t>
      </w:r>
    </w:p>
    <w:p w14:paraId="3083ADE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7 总结与展望</w:t>
        <w:tab/>
        <w:t>23</w:t>
      </w:r>
    </w:p>
    <w:p w14:paraId="13A97185">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7.1 工作总结</w:t>
        <w:tab/>
        <w:t>23</w:t>
      </w:r>
    </w:p>
    <w:p w14:paraId="1C0CB1E4">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sectPr>
          <w:footerReference r:id="rId5" w:type="default"/>
          <w:headerReference w:type="default" r:id="rId26"/>
          <w:pgSz w:w="11906" w:h="16838"/>
          <w:pgMar w:top="1417" w:right="1134" w:bottom="1134" w:left="1417" w:header="1474" w:footer="1361" w:gutter="0"/>
          <w:cols w:space="720" w:num="1"/>
          <w:docGrid w:linePitch="360" w:charSpace="0"/>
          <w:pgNumType w:fmt="lowerRoman" w:start="1"/>
        </w:sectPr>
      </w:pPr>
      <w:r>
        <w:rPr>
          <w:b w:val="0"/>
          <w:sz w:val="24"/>
          <w:rFonts w:eastAsia="宋体" w:ascii="Times New Roman" w:hAnsi="Times New Roman"/>
        </w:rPr>
        <w:t xml:space="preserve">    7.2 不足与展望</w:t>
        <w:tab/>
        <w:t>24</w:t>
      </w:r>
    </w:p>
    <w:p>
      <w:pPr>
        <w:spacing w:lineRule="exact" w:line="400" w:after="120"/>
        <w:ind w:firstLine="420"/>
      </w:pPr>
      <w:r>
        <w:rPr>
          <w:sz w:val="24"/>
          <w:rFonts w:eastAsia="宋体" w:ascii="Times New Roman" w:hAnsi="Times New Roman"/>
        </w:rPr>
        <w:t>参考文献</w:t>
        <w:tab/>
        <w:t>25</w:t>
      </w:r>
    </w:p>
    <w:p>
      <w:pPr>
        <w:spacing w:lineRule="exact" w:line="400" w:after="120"/>
        <w:ind w:firstLine="420"/>
      </w:pPr>
      <w:r>
        <w:rPr>
          <w:sz w:val="24"/>
          <w:rFonts w:eastAsia="宋体" w:ascii="Times New Roman" w:hAnsi="Times New Roman"/>
        </w:rPr>
        <w:t>致谢</w:t>
        <w:tab/>
        <w:t>27</w:t>
      </w:r>
    </w:p>
    <w:p w14:paraId="091A3601">
      <w:pPr>
        <w:pStyle w:val="3"/>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b w:val="0"/>
          <w:color w:val="000000" w:themeColor="text1"/>
          <w:sz w:val="24"/>
          <w:vertAlign w:val="superscript"/>
          <w14:textFill>
            <w14:solidFill>
              <w14:schemeClr w14:val="tx1"/>
            </w14:solidFill>
          </w14:textFill>
        </w:rPr>
        <w:t>[8-11]</w:t>
      </w:r>
      <w:r>
        <w:rPr>
          <w:rFonts w:ascii="Times New Roman" w:hAnsi="Times New Roman"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b w:val="0"/>
          <w:color w:val="000000" w:themeColor="text1"/>
          <w:sz w:val="24"/>
          <w:vertAlign w:val="superscript"/>
          <w14:textFill>
            <w14:solidFill>
              <w14:schemeClr w14:val="tx1"/>
            </w14:solidFill>
          </w14:textFill>
        </w:rPr>
        <w:t>[4]</w:t>
      </w:r>
      <w:r>
        <w:rPr>
          <w:rFonts w:ascii="Times New Roman" w:hAnsi="Times New Roman"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b w:val="0"/>
          <w:color w:val="000000" w:themeColor="text1"/>
          <w:sz w:val="24"/>
          <w:vertAlign w:val="superscript"/>
          <w14:textFill>
            <w14:solidFill>
              <w14:schemeClr w14:val="tx1"/>
            </w14:solidFill>
          </w14:textFill>
        </w:rPr>
        <w:t>[12]</w:t>
      </w:r>
      <w:r>
        <w:rPr>
          <w:rFonts w:ascii="Times New Roman" w:hAnsi="Times New Roman" w:eastAsia="宋体"/>
          <w:b w:val="0"/>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b w:val="0"/>
          <w:color w:val="000000" w:themeColor="text1"/>
          <w:sz w:val="24"/>
          <w:vertAlign w:val="superscript"/>
          <w14:textFill>
            <w14:solidFill>
              <w14:schemeClr w14:val="tx1"/>
            </w14:solidFill>
          </w14:textFill>
        </w:rPr>
        <w:t>[7]</w:t>
      </w:r>
      <w:r>
        <w:rPr>
          <w:rFonts w:ascii="Times New Roman" w:hAnsi="Times New Roman"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Khalil等</w:t>
            </w:r>
            <w:r>
              <w:rPr>
                <w:rFonts w:ascii="Times New Roman" w:hAnsi="Times New Roman" w:eastAsia="宋体"/>
                <w:b w:val="0"/>
                <w:color w:val="000000" w:themeColor="text1"/>
                <w:sz w:val="24"/>
                <w:vertAlign w:val="superscript"/>
                <w14:textFill>
                  <w14:solidFill>
                    <w14:schemeClr w14:val="tx1"/>
                  </w14:solidFill>
                </w14:textFill>
              </w:rPr>
              <w:t>[1]</w:t>
            </w:r>
            <w:r>
              <w:rPr>
                <w:rFonts w:ascii="Times New Roman" w:hAnsi="Times New Roman" w:eastAsia="宋体"/>
                <w:b w:val="0"/>
                <w:color w:val="000000" w:themeColor="text1"/>
                <w:sz w:val="24"/>
                <w14:textFill>
                  <w14:solidFill>
                    <w14:schemeClr w14:val="tx1"/>
                  </w14:solidFill>
                </w14:textFill>
              </w:rPr>
              <w:t>、Yang等</w:t>
            </w:r>
            <w:r>
              <w:rPr>
                <w:rFonts w:ascii="Times New Roman" w:hAnsi="Times New Roman" w:eastAsia="宋体"/>
                <w:b w:val="0"/>
                <w:color w:val="000000" w:themeColor="text1"/>
                <w:sz w:val="24"/>
                <w:vertAlign w:val="superscript"/>
                <w14:textFill>
                  <w14:solidFill>
                    <w14:schemeClr w14:val="tx1"/>
                  </w14:solidFill>
                </w14:textFill>
              </w:rPr>
              <w:t>[3]</w:t>
            </w:r>
            <w:r>
              <w:rPr>
                <w:rFonts w:ascii="Times New Roman" w:hAnsi="Times New Roman" w:eastAsia="宋体"/>
                <w:b w:val="0"/>
                <w:color w:val="000000" w:themeColor="text1"/>
                <w:sz w:val="24"/>
                <w14:textFill>
                  <w14:solidFill>
                    <w14:schemeClr w14:val="tx1"/>
                  </w14:solidFill>
                </w14:textFill>
              </w:rPr>
              <w:t>、Shi等</w:t>
            </w:r>
            <w:r>
              <w:rPr>
                <w:rFonts w:ascii="Times New Roman" w:hAnsi="Times New Roman"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Lee</w:t>
            </w:r>
            <w:r>
              <w:rPr>
                <w:rFonts w:ascii="Times New Roman" w:hAnsi="Times New Roman" w:eastAsia="宋体"/>
                <w:b w:val="0"/>
                <w:color w:val="000000" w:themeColor="text1"/>
                <w:sz w:val="24"/>
                <w:vertAlign w:val="superscript"/>
                <w14:textFill>
                  <w14:solidFill>
                    <w14:schemeClr w14:val="tx1"/>
                  </w14:solidFill>
                </w14:textFill>
              </w:rPr>
              <w:t>[8]</w:t>
            </w:r>
            <w:r>
              <w:rPr>
                <w:rFonts w:ascii="Times New Roman" w:hAnsi="Times New Roman" w:eastAsia="宋体"/>
                <w:b w:val="0"/>
                <w:color w:val="000000" w:themeColor="text1"/>
                <w:sz w:val="24"/>
                <w14:textFill>
                  <w14:solidFill>
                    <w14:schemeClr w14:val="tx1"/>
                  </w14:solidFill>
                </w14:textFill>
              </w:rPr>
              <w:t>、Hightower</w:t>
            </w:r>
            <w:r>
              <w:rPr>
                <w:rFonts w:ascii="Times New Roman" w:hAnsi="Times New Roman" w:eastAsia="宋体"/>
                <w:b w:val="0"/>
                <w:color w:val="000000" w:themeColor="text1"/>
                <w:sz w:val="24"/>
                <w:vertAlign w:val="superscript"/>
                <w14:textFill>
                  <w14:solidFill>
                    <w14:schemeClr w14:val="tx1"/>
                  </w14:solidFill>
                </w14:textFill>
              </w:rPr>
              <w:t>[9]</w:t>
            </w:r>
            <w:r>
              <w:rPr>
                <w:rFonts w:ascii="Times New Roman" w:hAnsi="Times New Roman" w:eastAsia="宋体"/>
                <w:b w:val="0"/>
                <w:color w:val="000000" w:themeColor="text1"/>
                <w:sz w:val="24"/>
                <w14:textFill>
                  <w14:solidFill>
                    <w14:schemeClr w14:val="tx1"/>
                  </w14:solidFill>
                </w14:textFill>
              </w:rPr>
              <w:t>、Soukup</w:t>
            </w:r>
            <w:r>
              <w:rPr>
                <w:rFonts w:ascii="Times New Roman" w:hAnsi="Times New Roman" w:eastAsia="宋体"/>
                <w:b w:val="0"/>
                <w:color w:val="000000" w:themeColor="text1"/>
                <w:sz w:val="24"/>
                <w:vertAlign w:val="superscript"/>
                <w14:textFill>
                  <w14:solidFill>
                    <w14:schemeClr w14:val="tx1"/>
                  </w14:solidFill>
                </w14:textFill>
              </w:rPr>
              <w:t>[10]</w:t>
            </w:r>
            <w:r>
              <w:rPr>
                <w:rFonts w:ascii="Times New Roman" w:hAnsi="Times New Roman" w:eastAsia="宋体"/>
                <w:b w:val="0"/>
                <w:color w:val="000000" w:themeColor="text1"/>
                <w:sz w:val="24"/>
                <w14:textFill>
                  <w14:solidFill>
                    <w14:schemeClr w14:val="tx1"/>
                  </w14:solidFill>
                </w14:textFill>
              </w:rPr>
              <w:t>、Hadlock</w:t>
            </w:r>
            <w:r>
              <w:rPr>
                <w:rFonts w:ascii="Times New Roman" w:hAnsi="Times New Roman" w:eastAsia="宋体"/>
                <w:b w:val="0"/>
                <w:color w:val="000000" w:themeColor="text1"/>
                <w:sz w:val="24"/>
                <w:vertAlign w:val="superscript"/>
                <w14:textFill>
                  <w14:solidFill>
                    <w14:schemeClr w14:val="tx1"/>
                  </w14:solidFill>
                </w14:textFill>
              </w:rPr>
              <w:t>[11]</w:t>
            </w:r>
            <w:r>
              <w:rPr>
                <w:rFonts w:ascii="Times New Roman" w:hAnsi="Times New Roman" w:eastAsia="宋体"/>
                <w:b w:val="0"/>
                <w:color w:val="000000" w:themeColor="text1"/>
                <w:sz w:val="24"/>
                <w14:textFill>
                  <w14:solidFill>
                    <w14:schemeClr w14:val="tx1"/>
                  </w14:solidFill>
                </w14:textFill>
              </w:rPr>
              <w:t>、Yan和Wong</w:t>
            </w:r>
            <w:r>
              <w:rPr>
                <w:rFonts w:ascii="Times New Roman" w:hAnsi="Times New Roman"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Chen等</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、IPC-2221B</w:t>
            </w:r>
            <w:r>
              <w:rPr>
                <w:rFonts w:ascii="Times New Roman" w:hAnsi="Times New Roman" w:eastAsia="宋体"/>
                <w:b w:val="0"/>
                <w:color w:val="000000" w:themeColor="text1"/>
                <w:sz w:val="24"/>
                <w:vertAlign w:val="superscript"/>
                <w14:textFill>
                  <w14:solidFill>
                    <w14:schemeClr w14:val="tx1"/>
                  </w14:solidFill>
                </w14:textFill>
              </w:rPr>
              <w:t>[13]</w:t>
            </w:r>
            <w:r>
              <w:rPr>
                <w:rFonts w:ascii="Times New Roman" w:hAnsi="Times New Roman" w:eastAsia="宋体"/>
                <w:b w:val="0"/>
                <w:color w:val="000000" w:themeColor="text1"/>
                <w:sz w:val="24"/>
                <w14:textFill>
                  <w14:solidFill>
                    <w14:schemeClr w14:val="tx1"/>
                  </w14:solidFill>
                </w14:textFill>
              </w:rPr>
              <w:t>、IPC-A-600</w:t>
            </w:r>
            <w:r>
              <w:rPr>
                <w:rFonts w:ascii="Times New Roman" w:hAnsi="Times New Roman"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胡木森</w:t>
            </w:r>
            <w:r>
              <w:rPr>
                <w:rFonts w:ascii="Times New Roman" w:hAnsi="Times New Roman"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刘自铭</w:t>
            </w:r>
            <w:r>
              <w:rPr>
                <w:rFonts w:ascii="Times New Roman" w:hAnsi="Times New Roman" w:eastAsia="宋体"/>
                <w:b w:val="0"/>
                <w:color w:val="000000" w:themeColor="text1"/>
                <w:sz w:val="24"/>
                <w:vertAlign w:val="superscript"/>
                <w14:textFill>
                  <w14:solidFill>
                    <w14:schemeClr w14:val="tx1"/>
                  </w14:solidFill>
                </w14:textFill>
              </w:rPr>
              <w:t>[18]</w:t>
            </w:r>
            <w:r>
              <w:rPr>
                <w:rFonts w:ascii="Times New Roman" w:hAnsi="Times New Roman" w:eastAsia="宋体"/>
                <w:b w:val="0"/>
                <w:color w:val="000000" w:themeColor="text1"/>
                <w:sz w:val="24"/>
                <w14:textFill>
                  <w14:solidFill>
                    <w14:schemeClr w14:val="tx1"/>
                  </w14:solidFill>
                </w14:textFill>
              </w:rPr>
              <w:t>、王磊</w:t>
            </w:r>
            <w:r>
              <w:rPr>
                <w:rFonts w:ascii="Times New Roman" w:hAnsi="Times New Roman"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郑杰</w:t>
            </w:r>
            <w:r>
              <w:rPr>
                <w:rFonts w:ascii="Times New Roman" w:hAnsi="Times New Roman" w:eastAsia="宋体"/>
                <w:b w:val="0"/>
                <w:color w:val="000000" w:themeColor="text1"/>
                <w:sz w:val="24"/>
                <w:vertAlign w:val="superscript"/>
                <w14:textFill>
                  <w14:solidFill>
                    <w14:schemeClr w14:val="tx1"/>
                  </w14:solidFill>
                </w14:textFill>
              </w:rPr>
              <w:t>[19]</w:t>
            </w:r>
            <w:r>
              <w:rPr>
                <w:rFonts w:ascii="Times New Roman" w:hAnsi="Times New Roman" w:eastAsia="宋体"/>
                <w:b w:val="0"/>
                <w:color w:val="000000" w:themeColor="text1"/>
                <w:sz w:val="24"/>
                <w14:textFill>
                  <w14:solidFill>
                    <w14:schemeClr w14:val="tx1"/>
                  </w14:solidFill>
                </w14:textFill>
              </w:rPr>
              <w:t>、白胜泷</w:t>
            </w:r>
            <w:r>
              <w:rPr>
                <w:rFonts w:ascii="Times New Roman" w:hAnsi="Times New Roman" w:eastAsia="宋体"/>
                <w:b w:val="0"/>
                <w:color w:val="000000" w:themeColor="text1"/>
                <w:sz w:val="24"/>
                <w:vertAlign w:val="superscript"/>
                <w14:textFill>
                  <w14:solidFill>
                    <w14:schemeClr w14:val="tx1"/>
                  </w14:solidFill>
                </w14:textFill>
              </w:rPr>
              <w:t>[20]</w:t>
            </w:r>
            <w:r>
              <w:rPr>
                <w:rFonts w:ascii="Times New Roman" w:hAnsi="Times New Roman" w:eastAsia="宋体"/>
                <w:b w:val="0"/>
                <w:color w:val="000000" w:themeColor="text1"/>
                <w:sz w:val="24"/>
                <w14:textFill>
                  <w14:solidFill>
                    <w14:schemeClr w14:val="tx1"/>
                  </w14:solidFill>
                </w14:textFill>
              </w:rPr>
              <w:t>、Zhao等</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、Martins</w:t>
            </w:r>
            <w:r>
              <w:rPr>
                <w:rFonts w:ascii="Times New Roman" w:hAnsi="Times New Roman"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PCBCart</w:t>
            </w:r>
            <w:r>
              <w:rPr>
                <w:rFonts w:ascii="Times New Roman" w:hAnsi="Times New Roman" w:eastAsia="宋体"/>
                <w:b w:val="0"/>
                <w:color w:val="000000" w:themeColor="text1"/>
                <w:sz w:val="24"/>
                <w:vertAlign w:val="superscript"/>
                <w14:textFill>
                  <w14:solidFill>
                    <w14:schemeClr w14:val="tx1"/>
                  </w14:solidFill>
                </w14:textFill>
              </w:rPr>
              <w:t>[21]</w:t>
            </w:r>
            <w:r>
              <w:rPr>
                <w:rFonts w:ascii="Times New Roman" w:hAnsi="Times New Roman" w:eastAsia="宋体"/>
                <w:b w:val="0"/>
                <w:color w:val="000000" w:themeColor="text1"/>
                <w:sz w:val="24"/>
                <w14:textFill>
                  <w14:solidFill>
                    <w14:schemeClr w14:val="tx1"/>
                  </w14:solidFill>
                </w14:textFill>
              </w:rPr>
              <w:t>、WellPCB</w:t>
            </w:r>
            <w:r>
              <w:rPr>
                <w:rFonts w:ascii="Times New Roman" w:hAnsi="Times New Roman" w:eastAsia="宋体"/>
                <w:b w:val="0"/>
                <w:color w:val="000000" w:themeColor="text1"/>
                <w:sz w:val="24"/>
                <w:vertAlign w:val="superscript"/>
                <w14:textFill>
                  <w14:solidFill>
                    <w14:schemeClr w14:val="tx1"/>
                  </w14:solidFill>
                </w14:textFill>
              </w:rPr>
              <w:t>[22]</w:t>
            </w:r>
            <w:r>
              <w:rPr>
                <w:rFonts w:ascii="Times New Roman" w:hAnsi="Times New Roman" w:eastAsia="宋体"/>
                <w:b w:val="0"/>
                <w:color w:val="000000" w:themeColor="text1"/>
                <w:sz w:val="24"/>
                <w14:textFill>
                  <w14:solidFill>
                    <w14:schemeClr w14:val="tx1"/>
                  </w14:solidFill>
                </w14:textFill>
              </w:rPr>
              <w:t>、NexPCB</w:t>
            </w:r>
            <w:r>
              <w:rPr>
                <w:rFonts w:ascii="Times New Roman" w:hAnsi="Times New Roman"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补充公开EDA文件解析流程，将KiCad、Gerber和Excellon/DRL文件中的端子与制造信息转化为算法输入，并通过公开EDA案例化验证扩展实验依据。论文第二章介绍理论基础和约束建模，第三章给出布点算法，第四章给出布线与协同优化方法，第五章说明系统实现与EDA解析流程，第六章分析参数化案例和公开EDA案例结果，第七章总结全文并展望后续工作。</w:t>
      </w:r>
    </w:p>
    <w:p w14:paraId="539F5370">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pPr>
        <w:spacing w:lineRule="exact" w:line="400" w:after="120" w:before="0"/>
        <w:ind w:firstLine="420"/>
      </w:pPr>
      <w:r>
        <w:rPr>
          <w:b w:val="0"/>
          <w:sz w:val="24"/>
          <w:rFonts w:eastAsia="宋体" w:ascii="Times New Roman" w:hAnsi="Times New Roman"/>
        </w:rPr>
        <w:t>结合《武汉理工大学本科生毕业设计（论文）工作管理办法（试行）》中关于任务完成、数据处理、理论分析、程序资料和成果归档的要求，本文将论文正文、C++程序、案例数据、实验指标和可视化结果作为同一毕业设计成果链进行组织。论文正文负责说明理论依据、算法设计和实验结论，程序与CSV/SVG/PNG结果负责支撑可复现实验，公开KiCad案例用于补充参数化仿真的工程来源说明。</w:t>
      </w:r>
    </w:p>
    <w:p w14:paraId="552F687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2381" w:type="dxa"/>
            <w:vAlign w:val="center"/>
          </w:tcPr>
          <w:p w14:paraId="4389ED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2381" w:type="dxa"/>
            <w:vAlign w:val="center"/>
          </w:tcPr>
          <w:p w14:paraId="632ADA6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2381" w:type="dxa"/>
            <w:vAlign w:val="center"/>
          </w:tcPr>
          <w:p w14:paraId="1D5868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2381" w:type="dxa"/>
            <w:vAlign w:val="center"/>
          </w:tcPr>
          <w:p w14:paraId="432DE1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2381" w:type="dxa"/>
            <w:vAlign w:val="center"/>
          </w:tcPr>
          <w:p w14:paraId="700818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2381" w:type="dxa"/>
            <w:vAlign w:val="center"/>
          </w:tcPr>
          <w:p w14:paraId="6DFAE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b w:val="0"/>
          <w:color w:val="000000" w:themeColor="text1"/>
          <w:sz w:val="24"/>
          <w:vertAlign w:val="superscript"/>
          <w14:textFill>
            <w14:solidFill>
              <w14:schemeClr w14:val="tx1"/>
            </w14:solidFill>
          </w14:textFill>
        </w:rPr>
        <w:t>[13-14][21-23]</w:t>
      </w:r>
      <w:r>
        <w:rPr>
          <w:rFonts w:ascii="Times New Roman" w:hAnsi="Times New Roman"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1.8-2.0 mm</w:t>
            </w:r>
          </w:p>
        </w:tc>
        <w:tc>
          <w:tcPr>
            <w:tcW w:w="3061" w:type="dxa"/>
            <w:vAlign w:val="center"/>
          </w:tcPr>
          <w:p w14:paraId="71BD3D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12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 mm</w:t>
            </w:r>
          </w:p>
        </w:tc>
        <w:tc>
          <w:tcPr>
            <w:tcW w:w="3061" w:type="dxa"/>
            <w:vAlign w:val="center"/>
          </w:tcPr>
          <w:p w14:paraId="1CB8E7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用于对比算法质量</w:t>
            </w:r>
          </w:p>
        </w:tc>
      </w:tr>
    </w:tbl>
    <w:p w14:paraId="2C6369BB">
      <w:pPr>
        <w:spacing w:lineRule="exact" w:line="400" w:before="0" w:after="120"/>
        <w:rPr>
          <w:color w:val="000000" w:themeColor="text1"/>
          <w14:textFill>
            <w14:solidFill>
              <w14:schemeClr w14:val="tx1"/>
            </w14:solidFill>
          </w14:textFill>
        </w:rPr>
      </w:pPr>
    </w:p>
    <w:p w14:paraId="736C991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2.2 布点布线数学模型</w:t>
      </w:r>
    </w:p>
    <w:p>
      <w:pPr>
        <w:spacing w:lineRule="exact" w:line="400" w:after="120" w:before="0"/>
        <w:ind w:firstLine="420"/>
      </w:pPr>
      <w:r>
        <w:rPr>
          <w:b w:val="0"/>
          <w:sz w:val="24"/>
          <w:rFonts w:eastAsia="宋体" w:ascii="Times New Roman" w:hAnsi="Times New Roman"/>
        </w:rPr>
        <w:t>为满足毕业设计管理办法中关于理论分析与计算正确性的要求，本文进一步把布点布线问题写成可复核的数学模型。金手指端子、候选测试点和布点决策变量定义如下：</w:t>
      </w:r>
    </w:p>
    <w:p>
      <w:pPr>
        <w:spacing w:lineRule="exact" w:line="400" w:after="120" w:before="0"/>
        <w:ind/>
        <w:jc w:val="center"/>
      </w:pPr>
      <w:r>
        <w:rPr>
          <w:b w:val="0"/>
          <w:sz w:val="24"/>
          <w:rFonts w:eastAsia="宋体" w:ascii="Times New Roman" w:hAnsi="Times New Roman"/>
        </w:rPr>
        <w:t>式（2-1）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817494"/>
            <wp:docPr id="5" name="Picture 5"/>
            <wp:cNvGraphicFramePr>
              <a:graphicFrameLocks noChangeAspect="1"/>
            </wp:cNvGraphicFramePr>
            <a:graphic>
              <a:graphicData uri="http://schemas.openxmlformats.org/drawingml/2006/picture">
                <pic:pic>
                  <pic:nvPicPr>
                    <pic:cNvPr id="0" name="eq_2-1.png"/>
                    <pic:cNvPicPr/>
                  </pic:nvPicPr>
                  <pic:blipFill>
                    <a:blip r:embed="rId16"/>
                    <a:stretch>
                      <a:fillRect/>
                    </a:stretch>
                  </pic:blipFill>
                  <pic:spPr>
                    <a:xfrm>
                      <a:off x="0" y="0"/>
                      <a:ext cx="4500000" cy="817494"/>
                    </a:xfrm>
                    <a:prstGeom prst="rect"/>
                  </pic:spPr>
                </pic:pic>
              </a:graphicData>
            </a:graphic>
          </wp:inline>
        </w:drawing>
      </w:r>
    </w:p>
    <w:p>
      <w:pPr>
        <w:spacing w:lineRule="exact" w:line="400" w:after="120" w:before="0"/>
        <w:ind/>
        <w:jc w:val="center"/>
      </w:pPr>
      <w:r>
        <w:rPr>
          <w:b w:val="0"/>
          <w:sz w:val="24"/>
          <w:rFonts w:eastAsia="宋体" w:ascii="Times New Roman" w:hAnsi="Times New Roman"/>
        </w:rPr>
        <w:t>式（2-2）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594612"/>
            <wp:docPr id="6" name="Picture 6"/>
            <wp:cNvGraphicFramePr>
              <a:graphicFrameLocks noChangeAspect="1"/>
            </wp:cNvGraphicFramePr>
            <a:graphic>
              <a:graphicData uri="http://schemas.openxmlformats.org/drawingml/2006/picture">
                <pic:pic>
                  <pic:nvPicPr>
                    <pic:cNvPr id="0" name="eq_2-2.png"/>
                    <pic:cNvPicPr/>
                  </pic:nvPicPr>
                  <pic:blipFill>
                    <a:blip r:embed="rId17"/>
                    <a:stretch>
                      <a:fillRect/>
                    </a:stretch>
                  </pic:blipFill>
                  <pic:spPr>
                    <a:xfrm>
                      <a:off x="0" y="0"/>
                      <a:ext cx="4500000" cy="594612"/>
                    </a:xfrm>
                    <a:prstGeom prst="rect"/>
                  </pic:spPr>
                </pic:pic>
              </a:graphicData>
            </a:graphic>
          </wp:inline>
        </w:drawing>
      </w:r>
    </w:p>
    <w:p>
      <w:pPr>
        <w:spacing w:lineRule="exact" w:line="400" w:after="120" w:before="0"/>
        <w:ind/>
        <w:jc w:val="center"/>
      </w:pPr>
      <w:r>
        <w:rPr>
          <w:b w:val="0"/>
          <w:sz w:val="24"/>
          <w:rFonts w:eastAsia="宋体" w:ascii="Times New Roman" w:hAnsi="Times New Roman"/>
        </w:rPr>
        <w:t>式（2-3）</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628000"/>
            <wp:docPr id="7" name="Picture 7"/>
            <wp:cNvGraphicFramePr>
              <a:graphicFrameLocks noChangeAspect="1"/>
            </wp:cNvGraphicFramePr>
            <a:graphic>
              <a:graphicData uri="http://schemas.openxmlformats.org/drawingml/2006/picture">
                <pic:pic>
                  <pic:nvPicPr>
                    <pic:cNvPr id="0" name="eq_2-3.png"/>
                    <pic:cNvPicPr/>
                  </pic:nvPicPr>
                  <pic:blipFill>
                    <a:blip r:embed="rId18"/>
                    <a:stretch>
                      <a:fillRect/>
                    </a:stretch>
                  </pic:blipFill>
                  <pic:spPr>
                    <a:xfrm>
                      <a:off x="0" y="0"/>
                      <a:ext cx="4500000" cy="628000"/>
                    </a:xfrm>
                    <a:prstGeom prst="rect"/>
                  </pic:spPr>
                </pic:pic>
              </a:graphicData>
            </a:graphic>
          </wp:inline>
        </w:drawing>
      </w:r>
    </w:p>
    <w:p>
      <w:pPr>
        <w:spacing w:lineRule="exact" w:line="400" w:after="120" w:before="0"/>
        <w:ind/>
        <w:jc w:val="center"/>
      </w:pPr>
      <w:r>
        <w:rPr>
          <w:b w:val="0"/>
          <w:sz w:val="24"/>
          <w:rFonts w:eastAsia="宋体" w:ascii="Times New Roman" w:hAnsi="Times New Roman"/>
        </w:rPr>
        <w:t>式（2-4）</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729640"/>
            <wp:docPr id="8" name="Picture 8"/>
            <wp:cNvGraphicFramePr>
              <a:graphicFrameLocks noChangeAspect="1"/>
            </wp:cNvGraphicFramePr>
            <a:graphic>
              <a:graphicData uri="http://schemas.openxmlformats.org/drawingml/2006/picture">
                <pic:pic>
                  <pic:nvPicPr>
                    <pic:cNvPr id="0" name="eq_2-4.png"/>
                    <pic:cNvPicPr/>
                  </pic:nvPicPr>
                  <pic:blipFill>
                    <a:blip r:embed="rId19"/>
                    <a:stretch>
                      <a:fillRect/>
                    </a:stretch>
                  </pic:blipFill>
                  <pic:spPr>
                    <a:xfrm>
                      <a:off x="0" y="0"/>
                      <a:ext cx="4500000" cy="729640"/>
                    </a:xfrm>
                    <a:prstGeom prst="rect"/>
                  </pic:spPr>
                </pic:pic>
              </a:graphicData>
            </a:graphic>
          </wp:inline>
        </w:drawing>
      </w:r>
    </w:p>
    <w:p>
      <w:pPr>
        <w:spacing w:lineRule="exact" w:line="400" w:after="120" w:before="0"/>
        <w:ind w:firstLine="420"/>
      </w:pPr>
      <w:r>
        <w:rPr>
          <w:b w:val="0"/>
          <w:sz w:val="24"/>
          <w:rFonts w:eastAsia="宋体" w:ascii="Times New Roman" w:hAnsi="Times New Roman"/>
        </w:rPr>
        <w:t>其中，Omega表示障碍区及其安全外扩区域，s_min表示测试点最小中心距，cap(e)表示网格边或Tile通道容量，n_e表示当前占用该通道的网络数量。上述公式将覆盖率、布通率、面积占比和合法性违规数统一到同一评价体系中，便于后续实验直接对应。</w:t>
      </w:r>
    </w:p>
    <w:p w14:paraId="462DD33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2.3 基于Tile和网络流思想的尾板等效建模</w:t>
      </w:r>
    </w:p>
    <w:p w14:paraId="79D24F7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并在A*搜索和拥塞重布线时对其赋予更高代价。</w:t>
      </w:r>
    </w:p>
    <w:p w14:paraId="0EB062E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后续多层合法化模块</w:t>
            </w:r>
          </w:p>
        </w:tc>
      </w:tr>
    </w:tbl>
    <w:p w14:paraId="5FADF39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2.5 文献理论到本文模型的转化</w:t>
      </w:r>
    </w:p>
    <w:p w14:paraId="60AA305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b w:val="0"/>
          <w:color w:val="000000" w:themeColor="text1"/>
          <w:sz w:val="24"/>
          <w:vertAlign w:val="superscript"/>
          <w14:textFill>
            <w14:solidFill>
              <w14:schemeClr w14:val="tx1"/>
            </w14:solidFill>
          </w14:textFill>
        </w:rPr>
        <w:t>[2][6-7][12]</w:t>
      </w:r>
      <w:r>
        <w:rPr>
          <w:rFonts w:ascii="Times New Roman" w:hAnsi="Times New Roman" w:eastAsia="宋体"/>
          <w:b w:val="0"/>
          <w:color w:val="000000" w:themeColor="text1"/>
          <w:sz w:val="24"/>
          <w14:textFill>
            <w14:solidFill>
              <w14:schemeClr w14:val="tx1"/>
            </w14:solidFill>
          </w14:textFill>
        </w:rPr>
        <w:t>。</w:t>
      </w:r>
    </w:p>
    <w:p w14:paraId="49E2359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3 测试点布点算法设计</w:t>
      </w:r>
    </w:p>
    <w:p w14:paraId="0491675E">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候选点生成是布点算法的基础。本文根据尾板可用区域和网格步长生成规则网格点，随后删除落入障碍区域或距离障碍过近的点。规则网格的优点是实现简单、便于与制造规则对齐，也便于后续A*布线使用同一坐标系统。为避免测试点靠近板边导致探针接触不稳定，候选点生成时保留一定边界余量；为避免障碍边缘产生潜在工艺冲突，障碍矩形按照线距参数进行外扩后再进行过滤。</w:t>
      </w:r>
    </w:p>
    <w:p w14:paraId="5E06443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Rule="exact" w:line="400"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3-1 布点布线协同优化流程</w:t>
      </w:r>
    </w:p>
    <w:p w14:paraId="37770F2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pPr>
        <w:spacing w:lineRule="exact" w:line="400" w:after="120" w:before="0"/>
        <w:ind/>
        <w:jc w:val="center"/>
      </w:pPr>
      <w:r>
        <w:rPr>
          <w:b w:val="0"/>
          <w:sz w:val="24"/>
          <w:rFonts w:eastAsia="宋体" w:ascii="Times New Roman" w:hAnsi="Times New Roman"/>
        </w:rPr>
        <w:t>式（3-1）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32598"/>
            <wp:docPr id="9" name="Picture 9"/>
            <wp:cNvGraphicFramePr>
              <a:graphicFrameLocks noChangeAspect="1"/>
            </wp:cNvGraphicFramePr>
            <a:graphic>
              <a:graphicData uri="http://schemas.openxmlformats.org/drawingml/2006/picture">
                <pic:pic>
                  <pic:nvPicPr>
                    <pic:cNvPr id="0" name="eq_3-1.png"/>
                    <pic:cNvPicPr/>
                  </pic:nvPicPr>
                  <pic:blipFill>
                    <a:blip r:embed="rId20"/>
                    <a:stretch>
                      <a:fillRect/>
                    </a:stretch>
                  </pic:blipFill>
                  <pic:spPr>
                    <a:xfrm>
                      <a:off x="0" y="0"/>
                      <a:ext cx="3780000" cy="332598"/>
                    </a:xfrm>
                    <a:prstGeom prst="rect"/>
                  </pic:spPr>
                </pic:pic>
              </a:graphicData>
            </a:graphic>
          </wp:inline>
        </w:drawing>
      </w:r>
    </w:p>
    <w:p>
      <w:pPr>
        <w:spacing w:lineRule="exact" w:line="400" w:after="120" w:before="0"/>
        <w:ind w:firstLine="420"/>
      </w:pPr>
      <w:r>
        <w:rPr>
          <w:b w:val="0"/>
          <w:sz w:val="24"/>
          <w:rFonts w:eastAsia="宋体" w:ascii="Times New Roman" w:hAnsi="Times New Roman"/>
        </w:rPr>
        <w:t>式（3-1）中，D表示端子到测试点的预估路径长度，A表示测试点包围盒面积占比，C表示候选点所在Tile的拥塞预测，P表示点间距、障碍和边界违规惩罚。由于P的权重最高，算法首先保证合法性，再在可行解中优化面积和线长。</w:t>
      </w:r>
    </w:p>
    <w:p w14:paraId="556F74B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4 布线算法与协同优化</w:t>
      </w:r>
    </w:p>
    <w:p w14:paraId="181211D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pPr>
        <w:spacing w:lineRule="exact" w:line="400" w:after="120" w:before="0"/>
        <w:ind/>
        <w:jc w:val="center"/>
      </w:pPr>
      <w:r>
        <w:rPr>
          <w:b w:val="0"/>
          <w:sz w:val="24"/>
          <w:rFonts w:eastAsia="宋体" w:ascii="Times New Roman" w:hAnsi="Times New Roman"/>
        </w:rPr>
        <w:t>式（4-1）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363178"/>
            <wp:docPr id="10" name="Picture 10"/>
            <wp:cNvGraphicFramePr>
              <a:graphicFrameLocks noChangeAspect="1"/>
            </wp:cNvGraphicFramePr>
            <a:graphic>
              <a:graphicData uri="http://schemas.openxmlformats.org/drawingml/2006/picture">
                <pic:pic>
                  <pic:nvPicPr>
                    <pic:cNvPr id="0" name="eq_4-1.png"/>
                    <pic:cNvPicPr/>
                  </pic:nvPicPr>
                  <pic:blipFill>
                    <a:blip r:embed="rId21"/>
                    <a:stretch>
                      <a:fillRect/>
                    </a:stretch>
                  </pic:blipFill>
                  <pic:spPr>
                    <a:xfrm>
                      <a:off x="0" y="0"/>
                      <a:ext cx="4500000" cy="363178"/>
                    </a:xfrm>
                    <a:prstGeom prst="rect"/>
                  </pic:spPr>
                </pic:pic>
              </a:graphicData>
            </a:graphic>
          </wp:inline>
        </w:drawing>
      </w:r>
    </w:p>
    <w:p>
      <w:pPr>
        <w:spacing w:lineRule="exact" w:line="400" w:after="120" w:before="0"/>
        <w:ind/>
        <w:jc w:val="center"/>
      </w:pPr>
      <w:r>
        <w:rPr>
          <w:b w:val="0"/>
          <w:sz w:val="24"/>
          <w:rFonts w:eastAsia="宋体" w:ascii="Times New Roman" w:hAnsi="Times New Roman"/>
        </w:rPr>
        <w:t>式（4-2）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86859"/>
            <wp:docPr id="11" name="Picture 11"/>
            <wp:cNvGraphicFramePr>
              <a:graphicFrameLocks noChangeAspect="1"/>
            </wp:cNvGraphicFramePr>
            <a:graphic>
              <a:graphicData uri="http://schemas.openxmlformats.org/drawingml/2006/picture">
                <pic:pic>
                  <pic:nvPicPr>
                    <pic:cNvPr id="0" name="eq_4-2.png"/>
                    <pic:cNvPicPr/>
                  </pic:nvPicPr>
                  <pic:blipFill>
                    <a:blip r:embed="rId22"/>
                    <a:stretch>
                      <a:fillRect/>
                    </a:stretch>
                  </pic:blipFill>
                  <pic:spPr>
                    <a:xfrm>
                      <a:off x="0" y="0"/>
                      <a:ext cx="3780000" cy="386859"/>
                    </a:xfrm>
                    <a:prstGeom prst="rect"/>
                  </pic:spPr>
                </pic:pic>
              </a:graphicData>
            </a:graphic>
          </wp:inline>
        </w:drawing>
      </w:r>
    </w:p>
    <w:p>
      <w:pPr>
        <w:spacing w:lineRule="exact" w:line="400" w:after="120" w:before="0"/>
        <w:ind w:firstLine="420"/>
      </w:pPr>
      <w:r>
        <w:rPr>
          <w:b w:val="0"/>
          <w:sz w:val="24"/>
          <w:rFonts w:eastAsia="宋体" w:ascii="Times New Roman" w:hAnsi="Times New Roman"/>
        </w:rPr>
        <w:t>式（4-1）给出了拥塞感知A*的评价函数，式（4-2）给出了历史拥塞代价更新方式。rho用于控制历史信息衰减，Delta n_e表示本轮布线新增占用，alpha用于调节热点通道的绕行强度。</w:t>
      </w:r>
    </w:p>
    <w:p w14:paraId="217B845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A*布线</w:t>
            </w:r>
          </w:p>
        </w:tc>
        <w:tc>
          <w:tcPr>
            <w:tcW w:w="2268" w:type="dxa"/>
            <w:vAlign w:val="center"/>
          </w:tcPr>
          <w:p w14:paraId="73DC4C8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支撑论文实验分析</w:t>
            </w:r>
          </w:p>
        </w:tc>
      </w:tr>
    </w:tbl>
    <w:p w14:paraId="6D92D0B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5 系统实现</w:t>
      </w:r>
    </w:p>
    <w:p w14:paraId="35D755D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算法原型采用C++17标准实现，未引入Qt等图形界面依赖，以命令行方式保证跨平台可构建性和答辩演示便利性。工程包含CMakeLists.txt和Makefile两种构建入口；程序入口参数固定为“--case 案例文件 --out 输出目录”，案例文件采用CSV键值格式描述引脚数量、尾板尺寸、金手指间距、网格步长、最小测试点间距和障碍区域。除参数化案例外，项目还通过Python脚本对公开EDA文件进行轻量级解析，将KiCad原生板文件、Gerber层文件和Excellon/DRL钻孔文件中的结构信息转化为同一CSV输入格式，从而保证算法核心无需依赖特定EDA软件接口即可复现实验流程。</w:t>
      </w:r>
    </w:p>
    <w:p w14:paraId="5CFE9E3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README.md</w:t>
            </w:r>
          </w:p>
        </w:tc>
        <w:tc>
          <w:tcPr>
            <w:tcW w:w="2268" w:type="dxa"/>
            <w:vAlign w:val="center"/>
          </w:tcPr>
          <w:p w14:paraId="545EDC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记录构建命令、运行命令和输出文件含义</w:t>
            </w:r>
          </w:p>
        </w:tc>
      </w:tr>
    </w:tbl>
    <w:p w14:paraId="100FF487">
      <w:pPr>
        <w:spacing w:lineRule="exact" w:line="400" w:before="0" w:after="120"/>
        <w:rPr>
          <w:color w:val="000000" w:themeColor="text1"/>
          <w14:textFill>
            <w14:solidFill>
              <w14:schemeClr w14:val="tx1"/>
            </w14:solidFill>
          </w14:textFill>
        </w:rPr>
      </w:pPr>
    </w:p>
    <w:p w14:paraId="7CE2D4D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pPr>
        <w:spacing w:lineRule="exact" w:line="400" w:after="120" w:before="0"/>
        <w:ind/>
        <w:jc w:val="center"/>
      </w:pPr>
      <w:r>
        <w:rPr>
          <w:b w:val="0"/>
          <w:sz w:val="24"/>
          <w:rFonts w:eastAsia="宋体" w:ascii="Times New Roman" w:hAnsi="Times New Roman"/>
        </w:rPr>
        <w:t>表 5-3 算法实现框架</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模块</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核心函数/流程</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对应指标</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案例解析</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case.csv / KiCad抽取参数</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read_scenario</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Scenario</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引脚数、尾板尺寸</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候选生成</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规则库、障碍区、网格步长</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generate_candidates</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候选点集合</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覆盖率、违规数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布点优化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金手指坐标、候选点</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place_optimized / place_pso_hanan</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placement.csv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面积占比、点间距</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布线搜索</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端子、测试点、障碍区</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astar / route_all</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routes.csv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布通率、总线长</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拥塞重布线</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初次路径、拥塞矩阵</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route_all_congestion_aware</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优化路径</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拥塞峰值、拥挤网格数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结果导出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Solution、Metrics</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write_csvs / write_svg</w:t>
            </w:r>
          </w:p>
        </w:tc>
        <w:tc>
          <w:tcPr>
            <w:tcW w:type="dxa" w:w="1474"/>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metrics.csv、SVG/PNG</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论文图表</w:t>
            </w:r>
          </w:p>
        </w:tc>
      </w:tr>
    </w:tbl>
    <w:p>
      <w:pPr>
        <w:spacing w:after="120" w:lineRule="exact" w:line="400" w:before="0"/>
      </w:pPr>
    </w:p>
    <w:p>
      <w:pPr>
        <w:spacing w:lineRule="exact" w:line="400" w:after="120" w:before="0"/>
        <w:ind/>
        <w:jc w:val="center"/>
      </w:pPr>
      <w:r>
        <w:rPr>
          <w:b w:val="0"/>
          <w:sz w:val="24"/>
          <w:rFonts w:eastAsia="宋体" w:ascii="Times New Roman" w:hAnsi="Times New Roman"/>
        </w:rPr>
        <w:t>表 5-4 数据流与文件流</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阶段</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输入文件</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处理结果</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输出文件</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论文用途</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案例准备</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公开.kicad_pcb / 参数化CSV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抽取金手指数量、间距和障碍</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data/*.csv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实验条件说明</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算法运行</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case.csv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生成布点、布线和指标</w:t>
            </w:r>
          </w:p>
        </w:tc>
        <w:tc>
          <w:tcPr>
            <w:tcW w:type="dxa" w:w="187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placement.csv、routes.csv、metrics.csv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指标表</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可视化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路径与测试点坐标</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绘制尾板布局</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layout_*.svg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布线成果图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KiCad对比</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原始公开PCB</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 CLI导出原图并拼接</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comparison_*.png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公开案例截图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论文汇总</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summary.csv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筛选基线与设计算法</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表6-4、图6-4</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量化结论</w:t>
            </w:r>
          </w:p>
        </w:tc>
      </w:tr>
    </w:tbl>
    <w:p>
      <w:pPr>
        <w:spacing w:after="120" w:lineRule="exact" w:line="400" w:before="0"/>
      </w:pPr>
    </w:p>
    <w:p w14:paraId="43F9AC5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pPr>
        <w:pStyle w:val="4"/>
        <w:spacing w:lineRule="exact" w:line="400" w:after="120"/>
      </w:pPr>
      <w:r>
        <w:rPr>
          <w:sz w:val="24"/>
          <w:rFonts w:eastAsia="宋体" w:ascii="Times New Roman" w:hAnsi="Times New Roman"/>
        </w:rPr>
        <w:t>5.4 真实EDA文件解析流程</w:t>
      </w:r>
    </w:p>
    <w:p>
      <w:pPr>
        <w:spacing w:lineRule="exact" w:line="400" w:after="120"/>
        <w:ind w:firstLine="420"/>
      </w:pPr>
      <w:r>
        <w:rPr>
          <w:sz w:val="24"/>
          <w:rFonts w:eastAsia="宋体" w:ascii="Times New Roman" w:hAnsi="Times New Roman"/>
        </w:rPr>
        <w:t>为回应真实EDA文件解析相关审阅意见，本文在原有参数化案例之外补充公开EDA文件解析入口。解析流程以KiCad原生板文件为主要输入，提取板框、footprint、pad坐标和连接器候选；当公开项目提供Gerber层文件和Excellon/DRL钻孔文件时，进一步统计层文件、Edge_Cuts边界和钻孔命中信息。解析结果被统一转换为data/eda_cases目录下的CSV案例文件，再由同一C++布点布线程序生成指标表、路径数据和可视化截图。</w:t>
      </w:r>
    </w:p>
    <w:p>
      <w:pPr>
        <w:spacing w:lineRule="auto" w:line="240" w:after="60"/>
        <w:ind/>
        <w:jc w:val="center"/>
      </w:pPr>
      <w:r>
        <w:drawing>
          <wp:inline xmlns:a="http://schemas.openxmlformats.org/drawingml/2006/main" xmlns:pic="http://schemas.openxmlformats.org/drawingml/2006/picture">
            <wp:extent cx="5688000" cy="1599750"/>
            <wp:docPr id="13" name="Picture 13"/>
            <wp:cNvGraphicFramePr>
              <a:graphicFrameLocks noChangeAspect="1"/>
            </wp:cNvGraphicFramePr>
            <a:graphic>
              <a:graphicData uri="http://schemas.openxmlformats.org/drawingml/2006/picture">
                <pic:pic>
                  <pic:nvPicPr>
                    <pic:cNvPr id="0" name="eda_parse_flow.png"/>
                    <pic:cNvPicPr/>
                  </pic:nvPicPr>
                  <pic:blipFill>
                    <a:blip r:embed="rId27"/>
                    <a:stretch>
                      <a:fillRect/>
                    </a:stretch>
                  </pic:blipFill>
                  <pic:spPr>
                    <a:xfrm>
                      <a:off x="0" y="0"/>
                      <a:ext cx="5688000" cy="1599750"/>
                    </a:xfrm>
                    <a:prstGeom prst="rect"/>
                  </pic:spPr>
                </pic:pic>
              </a:graphicData>
            </a:graphic>
          </wp:inline>
        </w:drawing>
      </w:r>
    </w:p>
    <w:p>
      <w:pPr>
        <w:spacing w:lineRule="exact" w:line="400" w:after="120"/>
        <w:ind/>
        <w:jc w:val="center"/>
      </w:pPr>
      <w:r>
        <w:rPr>
          <w:sz w:val="24"/>
          <w:rFonts w:eastAsia="宋体" w:ascii="Times New Roman" w:hAnsi="Times New Roman"/>
        </w:rPr>
        <w:t>图 5-1 真实EDA文件解析与算法实验数据流</w:t>
      </w:r>
    </w:p>
    <w:p>
      <w:pPr>
        <w:spacing w:lineRule="exact" w:line="400" w:after="120"/>
        <w:ind w:firstLine="420"/>
      </w:pPr>
      <w:r>
        <w:rPr>
          <w:sz w:val="24"/>
          <w:rFonts w:eastAsia="宋体" w:ascii="Times New Roman" w:hAnsi="Times New Roman"/>
        </w:rPr>
        <w:t>该流程使实验数据不再停留于参数化构造，而是能够从公开EDA工程中抽取端子结构和制造文件线索。需要说明的是，本文采用“公开EDA案例化验证”表述，强调数据来源为公开工程和轻量级解析结果，不将其等同于企业量产板卡的完整设计签核。</w:t>
      </w:r>
    </w:p>
    <w:p>
      <w:pPr>
        <w:spacing w:lineRule="exact" w:line="400" w:after="120"/>
        <w:ind/>
        <w:jc w:val="center"/>
      </w:pPr>
      <w:r>
        <w:rPr>
          <w:sz w:val="24"/>
          <w:rFonts w:eastAsia="宋体" w:ascii="Times New Roman" w:hAnsi="Times New Roman"/>
        </w:rPr>
        <w:t>表 5-5 真实EDA文件解析对象与输出字段</w:t>
      </w:r>
    </w:p>
    <w:tbl>
      <w:tblPr>
        <w:tblStyle w:val="33"/>
        <w:tblW w:type="auto" w:w="0"/>
        <w:jc w:val="center"/>
        <w:tblLook w:firstColumn="1" w:firstRow="1" w:lastColumn="0" w:lastRow="0" w:noHBand="0" w:noVBand="1" w:val="04A0"/>
      </w:tblPr>
      <w:tblGrid>
        <w:gridCol w:w="2268"/>
        <w:gridCol w:w="2268"/>
        <w:gridCol w:w="2268"/>
        <w:gridCol w:w="2268"/>
      </w:tblGrid>
      <w:tr>
        <w:trPr>
          <w:tblHeader w:val="true"/>
        </w:trPr>
        <w:tc>
          <w:tcPr>
            <w:tcW w:type="dxa" w:w="1701"/>
            <w:vAlign w:val="center"/>
            <w:shd w:fill="EAF2F8"/>
          </w:tcPr>
          <w:p>
            <w:pPr>
              <w:spacing w:lineRule="exact" w:line="280" w:after="0"/>
              <w:jc w:val="center"/>
            </w:pPr>
            <w:r/>
            <w:r>
              <w:rPr>
                <w:b/>
                <w:sz w:val="18"/>
                <w:rFonts w:eastAsia="宋体" w:ascii="Times New Roman" w:hAnsi="Times New Roman"/>
              </w:rPr>
              <w:t>解析对象</w:t>
            </w:r>
          </w:p>
        </w:tc>
        <w:tc>
          <w:tcPr>
            <w:tcW w:type="dxa" w:w="2948"/>
            <w:vAlign w:val="center"/>
            <w:shd w:fill="EAF2F8"/>
          </w:tcPr>
          <w:p>
            <w:pPr>
              <w:spacing w:lineRule="exact" w:line="280" w:after="0"/>
              <w:jc w:val="center"/>
            </w:pPr>
            <w:r/>
            <w:r>
              <w:rPr>
                <w:b/>
                <w:sz w:val="18"/>
                <w:rFonts w:eastAsia="宋体" w:ascii="Times New Roman" w:hAnsi="Times New Roman"/>
              </w:rPr>
              <w:t>提取内容</w:t>
            </w:r>
          </w:p>
        </w:tc>
        <w:tc>
          <w:tcPr>
            <w:tcW w:type="dxa" w:w="2381"/>
            <w:vAlign w:val="center"/>
            <w:shd w:fill="EAF2F8"/>
          </w:tcPr>
          <w:p>
            <w:pPr>
              <w:spacing w:lineRule="exact" w:line="280" w:after="0"/>
              <w:jc w:val="center"/>
            </w:pPr>
            <w:r/>
            <w:r>
              <w:rPr>
                <w:b/>
                <w:sz w:val="18"/>
                <w:rFonts w:eastAsia="宋体" w:ascii="Times New Roman" w:hAnsi="Times New Roman"/>
              </w:rPr>
              <w:t>输出字段</w:t>
            </w:r>
          </w:p>
        </w:tc>
        <w:tc>
          <w:tcPr>
            <w:tcW w:type="dxa" w:w="2268"/>
            <w:vAlign w:val="center"/>
            <w:shd w:fill="EAF2F8"/>
          </w:tcPr>
          <w:p>
            <w:pPr>
              <w:spacing w:lineRule="exact" w:line="280" w:after="0"/>
              <w:jc w:val="center"/>
            </w:pPr>
            <w:r/>
            <w:r>
              <w:rPr>
                <w:b/>
                <w:sz w:val="18"/>
                <w:rFonts w:eastAsia="宋体" w:ascii="Times New Roman" w:hAnsi="Times New Roman"/>
              </w:rPr>
              <w:t>用途</w:t>
            </w:r>
          </w:p>
        </w:tc>
      </w:tr>
      <w:tr>
        <w:tc>
          <w:tcPr>
            <w:tcW w:type="dxa" w:w="1701"/>
            <w:vAlign w:val="center"/>
          </w:tcPr>
          <w:p>
            <w:pPr>
              <w:spacing w:lineRule="exact" w:line="280" w:after="0"/>
              <w:jc w:val="center"/>
            </w:pPr>
            <w:r/>
            <w:r>
              <w:rPr>
                <w:b w:val="0"/>
                <w:sz w:val="18"/>
                <w:rFonts w:eastAsia="宋体" w:ascii="Times New Roman" w:hAnsi="Times New Roman"/>
              </w:rPr>
              <w:t>.kicad_pcb</w:t>
            </w:r>
          </w:p>
        </w:tc>
        <w:tc>
          <w:tcPr>
            <w:tcW w:type="dxa" w:w="2948"/>
            <w:vAlign w:val="center"/>
          </w:tcPr>
          <w:p>
            <w:pPr>
              <w:spacing w:lineRule="exact" w:line="280" w:after="0"/>
              <w:jc w:val="left"/>
            </w:pPr>
            <w:r/>
            <w:r>
              <w:rPr>
                <w:b w:val="0"/>
                <w:sz w:val="18"/>
                <w:rFonts w:eastAsia="宋体" w:ascii="Times New Roman" w:hAnsi="Times New Roman"/>
              </w:rPr>
              <w:t>板框、footprint、pad坐标、连接器候选</w:t>
            </w:r>
          </w:p>
        </w:tc>
        <w:tc>
          <w:tcPr>
            <w:tcW w:type="dxa" w:w="2381"/>
            <w:vAlign w:val="center"/>
          </w:tcPr>
          <w:p>
            <w:pPr>
              <w:spacing w:lineRule="exact" w:line="280" w:after="0"/>
              <w:jc w:val="left"/>
            </w:pPr>
            <w:r/>
            <w:r>
              <w:rPr>
                <w:b w:val="0"/>
                <w:sz w:val="18"/>
                <w:rFonts w:eastAsia="宋体" w:ascii="Times New Roman" w:hAnsi="Times New Roman"/>
              </w:rPr>
              <w:t>pin_positions、footprint、pins</w:t>
            </w:r>
          </w:p>
        </w:tc>
        <w:tc>
          <w:tcPr>
            <w:tcW w:type="dxa" w:w="2268"/>
            <w:vAlign w:val="center"/>
          </w:tcPr>
          <w:p>
            <w:pPr>
              <w:spacing w:lineRule="exact" w:line="280" w:after="0"/>
              <w:jc w:val="center"/>
            </w:pPr>
            <w:r/>
            <w:r>
              <w:rPr>
                <w:b w:val="0"/>
                <w:sz w:val="18"/>
                <w:rFonts w:eastAsia="宋体" w:ascii="Times New Roman" w:hAnsi="Times New Roman"/>
              </w:rPr>
              <w:t>生成真实端子坐标输入</w:t>
            </w:r>
          </w:p>
        </w:tc>
      </w:tr>
      <w:tr>
        <w:tc>
          <w:tcPr>
            <w:tcW w:type="dxa" w:w="1701"/>
            <w:vAlign w:val="center"/>
          </w:tcPr>
          <w:p>
            <w:pPr>
              <w:spacing w:lineRule="exact" w:line="280" w:after="0"/>
              <w:jc w:val="center"/>
            </w:pPr>
            <w:r/>
            <w:r>
              <w:rPr>
                <w:b w:val="0"/>
                <w:sz w:val="18"/>
                <w:rFonts w:eastAsia="宋体" w:ascii="Times New Roman" w:hAnsi="Times New Roman"/>
              </w:rPr>
              <w:t>Gerber</w:t>
            </w:r>
          </w:p>
        </w:tc>
        <w:tc>
          <w:tcPr>
            <w:tcW w:type="dxa" w:w="2948"/>
            <w:vAlign w:val="center"/>
          </w:tcPr>
          <w:p>
            <w:pPr>
              <w:spacing w:lineRule="exact" w:line="280" w:after="0"/>
              <w:jc w:val="left"/>
            </w:pPr>
            <w:r/>
            <w:r>
              <w:rPr>
                <w:b w:val="0"/>
                <w:sz w:val="18"/>
                <w:rFonts w:eastAsia="宋体" w:ascii="Times New Roman" w:hAnsi="Times New Roman"/>
              </w:rPr>
              <w:t>层文件、Edge_Cuts/Profile边界、Gerber元数据</w:t>
            </w:r>
          </w:p>
        </w:tc>
        <w:tc>
          <w:tcPr>
            <w:tcW w:type="dxa" w:w="2381"/>
            <w:vAlign w:val="center"/>
          </w:tcPr>
          <w:p>
            <w:pPr>
              <w:spacing w:lineRule="exact" w:line="280" w:after="0"/>
              <w:jc w:val="left"/>
            </w:pPr>
            <w:r/>
            <w:r>
              <w:rPr>
                <w:b w:val="0"/>
                <w:sz w:val="18"/>
                <w:rFonts w:eastAsia="宋体" w:ascii="Times New Roman" w:hAnsi="Times New Roman"/>
              </w:rPr>
              <w:t>gerber_files、gerber_bbox</w:t>
            </w:r>
          </w:p>
        </w:tc>
        <w:tc>
          <w:tcPr>
            <w:tcW w:type="dxa" w:w="2268"/>
            <w:vAlign w:val="center"/>
          </w:tcPr>
          <w:p>
            <w:pPr>
              <w:spacing w:lineRule="exact" w:line="280" w:after="0"/>
              <w:jc w:val="center"/>
            </w:pPr>
            <w:r/>
            <w:r>
              <w:rPr>
                <w:b w:val="0"/>
                <w:sz w:val="18"/>
                <w:rFonts w:eastAsia="宋体" w:ascii="Times New Roman" w:hAnsi="Times New Roman"/>
              </w:rPr>
              <w:t>补充制造文件解析证据</w:t>
            </w:r>
          </w:p>
        </w:tc>
      </w:tr>
      <w:tr>
        <w:tc>
          <w:tcPr>
            <w:tcW w:type="dxa" w:w="1701"/>
            <w:vAlign w:val="center"/>
          </w:tcPr>
          <w:p>
            <w:pPr>
              <w:spacing w:lineRule="exact" w:line="280" w:after="0"/>
              <w:jc w:val="center"/>
            </w:pPr>
            <w:r/>
            <w:r>
              <w:rPr>
                <w:b w:val="0"/>
                <w:sz w:val="18"/>
                <w:rFonts w:eastAsia="宋体" w:ascii="Times New Roman" w:hAnsi="Times New Roman"/>
              </w:rPr>
              <w:t>Excellon/DRL</w:t>
            </w:r>
          </w:p>
        </w:tc>
        <w:tc>
          <w:tcPr>
            <w:tcW w:type="dxa" w:w="2948"/>
            <w:vAlign w:val="center"/>
          </w:tcPr>
          <w:p>
            <w:pPr>
              <w:spacing w:lineRule="exact" w:line="280" w:after="0"/>
              <w:jc w:val="center"/>
            </w:pPr>
            <w:r/>
            <w:r>
              <w:rPr>
                <w:b w:val="0"/>
                <w:sz w:val="18"/>
                <w:rFonts w:eastAsia="宋体" w:ascii="Times New Roman" w:hAnsi="Times New Roman"/>
              </w:rPr>
              <w:t>钻孔文件、钻孔坐标命中数</w:t>
            </w:r>
          </w:p>
        </w:tc>
        <w:tc>
          <w:tcPr>
            <w:tcW w:type="dxa" w:w="2381"/>
            <w:vAlign w:val="center"/>
          </w:tcPr>
          <w:p>
            <w:pPr>
              <w:spacing w:lineRule="exact" w:line="280" w:after="0"/>
              <w:jc w:val="left"/>
            </w:pPr>
            <w:r/>
            <w:r>
              <w:rPr>
                <w:b w:val="0"/>
                <w:sz w:val="18"/>
                <w:rFonts w:eastAsia="宋体" w:ascii="Times New Roman" w:hAnsi="Times New Roman"/>
              </w:rPr>
              <w:t>drill_files、drill_hits</w:t>
            </w:r>
          </w:p>
        </w:tc>
        <w:tc>
          <w:tcPr>
            <w:tcW w:type="dxa" w:w="2268"/>
            <w:vAlign w:val="center"/>
          </w:tcPr>
          <w:p>
            <w:pPr>
              <w:spacing w:lineRule="exact" w:line="280" w:after="0"/>
              <w:jc w:val="center"/>
            </w:pPr>
            <w:r/>
            <w:r>
              <w:rPr>
                <w:b w:val="0"/>
                <w:sz w:val="18"/>
                <w:rFonts w:eastAsia="宋体" w:ascii="Times New Roman" w:hAnsi="Times New Roman"/>
              </w:rPr>
              <w:t>说明通孔、安装孔等制造信息</w:t>
            </w:r>
          </w:p>
        </w:tc>
      </w:tr>
      <w:tr>
        <w:tc>
          <w:tcPr>
            <w:tcW w:type="dxa" w:w="1701"/>
            <w:vAlign w:val="center"/>
          </w:tcPr>
          <w:p>
            <w:pPr>
              <w:spacing w:lineRule="exact" w:line="280" w:after="0"/>
              <w:jc w:val="center"/>
            </w:pPr>
            <w:r/>
            <w:r>
              <w:rPr>
                <w:b w:val="0"/>
                <w:sz w:val="18"/>
                <w:rFonts w:eastAsia="宋体" w:ascii="Times New Roman" w:hAnsi="Times New Roman"/>
              </w:rPr>
              <w:t>C++ CSV</w:t>
            </w:r>
          </w:p>
        </w:tc>
        <w:tc>
          <w:tcPr>
            <w:tcW w:type="dxa" w:w="2948"/>
            <w:vAlign w:val="center"/>
          </w:tcPr>
          <w:p>
            <w:pPr>
              <w:spacing w:lineRule="exact" w:line="280" w:after="0"/>
              <w:jc w:val="center"/>
            </w:pPr>
            <w:r/>
            <w:r>
              <w:rPr>
                <w:b w:val="0"/>
                <w:sz w:val="18"/>
                <w:rFonts w:eastAsia="宋体" w:ascii="Times New Roman" w:hAnsi="Times New Roman"/>
              </w:rPr>
              <w:t>端子坐标、尾板尺寸、障碍区、规则参数</w:t>
            </w:r>
          </w:p>
        </w:tc>
        <w:tc>
          <w:tcPr>
            <w:tcW w:type="dxa" w:w="2381"/>
            <w:vAlign w:val="center"/>
          </w:tcPr>
          <w:p>
            <w:pPr>
              <w:spacing w:lineRule="exact" w:line="280" w:after="0"/>
              <w:jc w:val="left"/>
            </w:pPr>
            <w:r/>
            <w:r>
              <w:rPr>
                <w:b w:val="0"/>
                <w:sz w:val="18"/>
                <w:rFonts w:eastAsia="宋体" w:ascii="Times New Roman" w:hAnsi="Times New Roman"/>
              </w:rPr>
              <w:t>data/eda_cases/*.csv</w:t>
            </w:r>
          </w:p>
        </w:tc>
        <w:tc>
          <w:tcPr>
            <w:tcW w:type="dxa" w:w="2268"/>
            <w:vAlign w:val="center"/>
          </w:tcPr>
          <w:p>
            <w:pPr>
              <w:spacing w:lineRule="exact" w:line="280" w:after="0"/>
              <w:jc w:val="center"/>
            </w:pPr>
            <w:r/>
            <w:r>
              <w:rPr>
                <w:b w:val="0"/>
                <w:sz w:val="18"/>
                <w:rFonts w:eastAsia="宋体" w:ascii="Times New Roman" w:hAnsi="Times New Roman"/>
              </w:rPr>
              <w:t>驱动布点布线算法</w:t>
            </w:r>
          </w:p>
        </w:tc>
      </w:tr>
    </w:tbl>
    <w:p>
      <w:pPr>
        <w:spacing w:lineRule="exact" w:line="400" w:after="120"/>
      </w:pPr>
    </w:p>
    <w:p w14:paraId="76A43DA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Rule="exact" w:line="400" w:before="200" w:after="120"/>
        <w:jc w:val="left"/>
        <w:rPr>
          <w:color w:val="000000" w:themeColor="text1"/>
          <w14:textFill>
            <w14:solidFill>
              <w14:schemeClr w14:val="tx1"/>
            </w14:solidFill>
          </w14:textFill>
        </w:rPr>
      </w:pPr>
      <w:r>
        <w:rPr>
          <w:b/>
          <w:sz w:val="24"/>
          <w:rFonts w:eastAsia="宋体" w:ascii="Times New Roman" w:hAnsi="Times New Roman"/>
        </w:rPr>
        <w:t>5.5 文献支撑下的代码模块对应关系</w:t>
      </w:r>
    </w:p>
    <w:p w14:paraId="03133F6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6 实验结果与分析</w:t>
      </w:r>
    </w:p>
    <w:p w14:paraId="666C054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实验由两部分组成。第一部分为五组参数化仿真实验，依据开题报告和阶段性报告确定的研究方向，结合金手指制造资料、PCB可测性设计资料以及相关文献中的高密度、障碍、拥塞和面积受限场景构造，用于验证算法在可控约束条件下的基本性能[13-23]。第二部分为公开EDA案例化验证，脚本从公开KiCad工程、Gerber层文件和Excellon/DRL钻孔文件中抽取连接器候选、端子位置、板框边界及制造文件信息，并将其转换为C++程序可直接读取的CSV输入。两类实验均由同一布点布线程序生成指标和可视化结果，未手工调整输出数据。</w:t>
      </w:r>
    </w:p>
    <w:p w14:paraId="62ABA26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964" w:type="dxa"/>
            <w:vAlign w:val="center"/>
          </w:tcPr>
          <w:p w14:paraId="0D40C1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w:t>
            </w:r>
          </w:p>
        </w:tc>
        <w:tc>
          <w:tcPr>
            <w:tcW w:w="1134" w:type="dxa"/>
            <w:vAlign w:val="center"/>
          </w:tcPr>
          <w:p w14:paraId="301A66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w:t>
            </w:r>
          </w:p>
        </w:tc>
        <w:tc>
          <w:tcPr>
            <w:tcW w:w="1134" w:type="dxa"/>
            <w:vAlign w:val="center"/>
          </w:tcPr>
          <w:p w14:paraId="5DC4B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42</w:t>
            </w:r>
          </w:p>
        </w:tc>
        <w:tc>
          <w:tcPr>
            <w:tcW w:w="1134" w:type="dxa"/>
            <w:vAlign w:val="center"/>
          </w:tcPr>
          <w:p w14:paraId="7D9B526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1.27</w:t>
            </w:r>
          </w:p>
        </w:tc>
        <w:tc>
          <w:tcPr>
            <w:tcW w:w="2835" w:type="dxa"/>
            <w:vAlign w:val="center"/>
          </w:tcPr>
          <w:p w14:paraId="29F7F5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964" w:type="dxa"/>
            <w:vAlign w:val="center"/>
          </w:tcPr>
          <w:p w14:paraId="731F5F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80</w:t>
            </w:r>
          </w:p>
        </w:tc>
        <w:tc>
          <w:tcPr>
            <w:tcW w:w="1134" w:type="dxa"/>
            <w:vAlign w:val="center"/>
          </w:tcPr>
          <w:p w14:paraId="47F0D0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42B08BD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w:t>
            </w:r>
          </w:p>
        </w:tc>
        <w:tc>
          <w:tcPr>
            <w:tcW w:w="1134" w:type="dxa"/>
            <w:vAlign w:val="center"/>
          </w:tcPr>
          <w:p w14:paraId="72C5A1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0.8</w:t>
            </w:r>
          </w:p>
        </w:tc>
        <w:tc>
          <w:tcPr>
            <w:tcW w:w="2835" w:type="dxa"/>
            <w:vAlign w:val="center"/>
          </w:tcPr>
          <w:p w14:paraId="302030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964" w:type="dxa"/>
            <w:vAlign w:val="center"/>
          </w:tcPr>
          <w:p w14:paraId="552B9E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120</w:t>
            </w:r>
          </w:p>
        </w:tc>
        <w:tc>
          <w:tcPr>
            <w:tcW w:w="1134" w:type="dxa"/>
            <w:vAlign w:val="center"/>
          </w:tcPr>
          <w:p w14:paraId="225B73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110</w:t>
            </w:r>
          </w:p>
        </w:tc>
        <w:tc>
          <w:tcPr>
            <w:tcW w:w="1134" w:type="dxa"/>
            <w:vAlign w:val="center"/>
          </w:tcPr>
          <w:p w14:paraId="6006D4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54</w:t>
            </w:r>
          </w:p>
        </w:tc>
        <w:tc>
          <w:tcPr>
            <w:tcW w:w="1134" w:type="dxa"/>
            <w:vAlign w:val="center"/>
          </w:tcPr>
          <w:p w14:paraId="1BB787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3E9F09C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964" w:type="dxa"/>
            <w:vAlign w:val="center"/>
          </w:tcPr>
          <w:p w14:paraId="7B35EBE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6872E4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w:t>
            </w:r>
          </w:p>
        </w:tc>
        <w:tc>
          <w:tcPr>
            <w:tcW w:w="1134" w:type="dxa"/>
            <w:vAlign w:val="center"/>
          </w:tcPr>
          <w:p w14:paraId="3A5B4CA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w:t>
            </w:r>
          </w:p>
        </w:tc>
        <w:tc>
          <w:tcPr>
            <w:tcW w:w="1134" w:type="dxa"/>
            <w:vAlign w:val="center"/>
          </w:tcPr>
          <w:p w14:paraId="2B33CA3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0.75</w:t>
            </w:r>
          </w:p>
        </w:tc>
        <w:tc>
          <w:tcPr>
            <w:tcW w:w="2835" w:type="dxa"/>
            <w:vAlign w:val="center"/>
          </w:tcPr>
          <w:p w14:paraId="379707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964" w:type="dxa"/>
            <w:vAlign w:val="center"/>
          </w:tcPr>
          <w:p w14:paraId="1F95D8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w:t>
            </w:r>
          </w:p>
        </w:tc>
        <w:tc>
          <w:tcPr>
            <w:tcW w:w="1134" w:type="dxa"/>
            <w:vAlign w:val="center"/>
          </w:tcPr>
          <w:p w14:paraId="138C126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82</w:t>
            </w:r>
          </w:p>
        </w:tc>
        <w:tc>
          <w:tcPr>
            <w:tcW w:w="1134" w:type="dxa"/>
            <w:vAlign w:val="center"/>
          </w:tcPr>
          <w:p w14:paraId="556AB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w:t>
            </w:r>
          </w:p>
        </w:tc>
        <w:tc>
          <w:tcPr>
            <w:tcW w:w="1134" w:type="dxa"/>
            <w:vAlign w:val="center"/>
          </w:tcPr>
          <w:p w14:paraId="7E1F949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06CB1E4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30:12:42:23</w:t>
            </w:r>
          </w:p>
        </w:tc>
      </w:tr>
    </w:tbl>
    <w:p w14:paraId="35BFF4DA">
      <w:pPr>
        <w:spacing w:lineRule="exact" w:line="400" w:before="0" w:after="120"/>
        <w:rPr>
          <w:color w:val="000000" w:themeColor="text1"/>
          <w14:textFill>
            <w14:solidFill>
              <w14:schemeClr w14:val="tx1"/>
            </w14:solidFill>
          </w14:textFill>
        </w:rPr>
      </w:pPr>
    </w:p>
    <w:p w14:paraId="6598E579">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C6F03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B8413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48.15</w:t>
            </w:r>
          </w:p>
        </w:tc>
        <w:tc>
          <w:tcPr>
            <w:tcW w:w="1134" w:type="dxa"/>
            <w:vAlign w:val="center"/>
          </w:tcPr>
          <w:p w14:paraId="4F3A89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816.00</w:t>
            </w:r>
          </w:p>
        </w:tc>
        <w:tc>
          <w:tcPr>
            <w:tcW w:w="1020" w:type="dxa"/>
            <w:vAlign w:val="center"/>
          </w:tcPr>
          <w:p w14:paraId="3D429C4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1020" w:type="dxa"/>
            <w:vAlign w:val="center"/>
          </w:tcPr>
          <w:p w14:paraId="4A416D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c>
          <w:tcPr>
            <w:tcW w:w="794" w:type="dxa"/>
            <w:vAlign w:val="center"/>
          </w:tcPr>
          <w:p w14:paraId="5977F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61847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3CA49C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ECC2F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9.05</w:t>
            </w:r>
          </w:p>
        </w:tc>
        <w:tc>
          <w:tcPr>
            <w:tcW w:w="1134" w:type="dxa"/>
            <w:vAlign w:val="center"/>
          </w:tcPr>
          <w:p w14:paraId="7B9E63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345.00</w:t>
            </w:r>
          </w:p>
        </w:tc>
        <w:tc>
          <w:tcPr>
            <w:tcW w:w="1020" w:type="dxa"/>
            <w:vAlign w:val="center"/>
          </w:tcPr>
          <w:p w14:paraId="16398F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154E34E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64</w:t>
            </w:r>
          </w:p>
        </w:tc>
        <w:tc>
          <w:tcPr>
            <w:tcW w:w="794" w:type="dxa"/>
            <w:vAlign w:val="center"/>
          </w:tcPr>
          <w:p w14:paraId="25F2ED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607DC3D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ABB70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900AE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19833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323.00</w:t>
            </w:r>
          </w:p>
        </w:tc>
        <w:tc>
          <w:tcPr>
            <w:tcW w:w="1020" w:type="dxa"/>
            <w:vAlign w:val="center"/>
          </w:tcPr>
          <w:p w14:paraId="264AD7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374D5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7E9E81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08B7C1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BDB9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945BF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327.00</w:t>
            </w:r>
          </w:p>
        </w:tc>
        <w:tc>
          <w:tcPr>
            <w:tcW w:w="1020" w:type="dxa"/>
            <w:vAlign w:val="center"/>
          </w:tcPr>
          <w:p w14:paraId="419621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06CD3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099190B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4B363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7F29AE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58.33</w:t>
            </w:r>
          </w:p>
        </w:tc>
        <w:tc>
          <w:tcPr>
            <w:tcW w:w="1134" w:type="dxa"/>
            <w:vAlign w:val="center"/>
          </w:tcPr>
          <w:p w14:paraId="3EE398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1940.00</w:t>
            </w:r>
          </w:p>
        </w:tc>
        <w:tc>
          <w:tcPr>
            <w:tcW w:w="1020" w:type="dxa"/>
            <w:vAlign w:val="center"/>
          </w:tcPr>
          <w:p w14:paraId="73D671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87259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378</w:t>
            </w:r>
          </w:p>
        </w:tc>
        <w:tc>
          <w:tcPr>
            <w:tcW w:w="794" w:type="dxa"/>
            <w:vAlign w:val="center"/>
          </w:tcPr>
          <w:p w14:paraId="559B58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78BD0C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55FC5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30487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12.15</w:t>
            </w:r>
          </w:p>
        </w:tc>
        <w:tc>
          <w:tcPr>
            <w:tcW w:w="1134" w:type="dxa"/>
            <w:vAlign w:val="center"/>
          </w:tcPr>
          <w:p w14:paraId="29A1BB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774.00</w:t>
            </w:r>
          </w:p>
        </w:tc>
        <w:tc>
          <w:tcPr>
            <w:tcW w:w="1020" w:type="dxa"/>
            <w:vAlign w:val="center"/>
          </w:tcPr>
          <w:p w14:paraId="7EF0E5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4A8ED3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237</w:t>
            </w:r>
          </w:p>
        </w:tc>
        <w:tc>
          <w:tcPr>
            <w:tcW w:w="794" w:type="dxa"/>
            <w:vAlign w:val="center"/>
          </w:tcPr>
          <w:p w14:paraId="674CC9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1DADE3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188A04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FB7E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466DB0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723.00</w:t>
            </w:r>
          </w:p>
        </w:tc>
        <w:tc>
          <w:tcPr>
            <w:tcW w:w="1020" w:type="dxa"/>
            <w:vAlign w:val="center"/>
          </w:tcPr>
          <w:p w14:paraId="6BCF0E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EEDCF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255</w:t>
            </w:r>
          </w:p>
        </w:tc>
        <w:tc>
          <w:tcPr>
            <w:tcW w:w="794" w:type="dxa"/>
            <w:vAlign w:val="center"/>
          </w:tcPr>
          <w:p w14:paraId="66F93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0353B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EB1D0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15A802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763.00</w:t>
            </w:r>
          </w:p>
        </w:tc>
        <w:tc>
          <w:tcPr>
            <w:tcW w:w="1020" w:type="dxa"/>
            <w:vAlign w:val="center"/>
          </w:tcPr>
          <w:p w14:paraId="7471E75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5220C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185</w:t>
            </w:r>
          </w:p>
        </w:tc>
        <w:tc>
          <w:tcPr>
            <w:tcW w:w="794" w:type="dxa"/>
            <w:vAlign w:val="center"/>
          </w:tcPr>
          <w:p w14:paraId="67A84E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781E90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98D23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63.00</w:t>
            </w:r>
          </w:p>
        </w:tc>
        <w:tc>
          <w:tcPr>
            <w:tcW w:w="1134" w:type="dxa"/>
            <w:vAlign w:val="center"/>
          </w:tcPr>
          <w:p w14:paraId="0784CE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3240.00</w:t>
            </w:r>
          </w:p>
        </w:tc>
        <w:tc>
          <w:tcPr>
            <w:tcW w:w="1020" w:type="dxa"/>
            <w:vAlign w:val="center"/>
          </w:tcPr>
          <w:p w14:paraId="1A6B7E4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03449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1076</w:t>
            </w:r>
          </w:p>
        </w:tc>
        <w:tc>
          <w:tcPr>
            <w:tcW w:w="794" w:type="dxa"/>
            <w:vAlign w:val="center"/>
          </w:tcPr>
          <w:p w14:paraId="1AAC76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1131C8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595B865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58018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15.32</w:t>
            </w:r>
          </w:p>
        </w:tc>
        <w:tc>
          <w:tcPr>
            <w:tcW w:w="1134" w:type="dxa"/>
            <w:vAlign w:val="center"/>
          </w:tcPr>
          <w:p w14:paraId="529A105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1247.00</w:t>
            </w:r>
          </w:p>
        </w:tc>
        <w:tc>
          <w:tcPr>
            <w:tcW w:w="1020" w:type="dxa"/>
            <w:vAlign w:val="center"/>
          </w:tcPr>
          <w:p w14:paraId="741704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578239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381</w:t>
            </w:r>
          </w:p>
        </w:tc>
        <w:tc>
          <w:tcPr>
            <w:tcW w:w="794" w:type="dxa"/>
            <w:vAlign w:val="center"/>
          </w:tcPr>
          <w:p w14:paraId="43B725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006FFA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061D6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36E84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00109C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1128.00</w:t>
            </w:r>
          </w:p>
        </w:tc>
        <w:tc>
          <w:tcPr>
            <w:tcW w:w="1020" w:type="dxa"/>
            <w:vAlign w:val="center"/>
          </w:tcPr>
          <w:p w14:paraId="7C5EC1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24C25D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390</w:t>
            </w:r>
          </w:p>
        </w:tc>
        <w:tc>
          <w:tcPr>
            <w:tcW w:w="794" w:type="dxa"/>
            <w:vAlign w:val="center"/>
          </w:tcPr>
          <w:p w14:paraId="1A34CB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60EF9A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F95D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1DD23A9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1210.00</w:t>
            </w:r>
          </w:p>
        </w:tc>
        <w:tc>
          <w:tcPr>
            <w:tcW w:w="1020" w:type="dxa"/>
            <w:vAlign w:val="center"/>
          </w:tcPr>
          <w:p w14:paraId="1A074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D45F6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416</w:t>
            </w:r>
          </w:p>
        </w:tc>
        <w:tc>
          <w:tcPr>
            <w:tcW w:w="794" w:type="dxa"/>
            <w:vAlign w:val="center"/>
          </w:tcPr>
          <w:p w14:paraId="3A72D2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02F48A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84.38</w:t>
            </w:r>
          </w:p>
        </w:tc>
        <w:tc>
          <w:tcPr>
            <w:tcW w:w="1020" w:type="dxa"/>
            <w:vAlign w:val="center"/>
          </w:tcPr>
          <w:p w14:paraId="135EBB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60.64</w:t>
            </w:r>
          </w:p>
        </w:tc>
        <w:tc>
          <w:tcPr>
            <w:tcW w:w="1134" w:type="dxa"/>
            <w:vAlign w:val="center"/>
          </w:tcPr>
          <w:p w14:paraId="500AE4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2249.00</w:t>
            </w:r>
          </w:p>
        </w:tc>
        <w:tc>
          <w:tcPr>
            <w:tcW w:w="1020" w:type="dxa"/>
            <w:vAlign w:val="center"/>
          </w:tcPr>
          <w:p w14:paraId="41DD5E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w:t>
            </w:r>
          </w:p>
        </w:tc>
        <w:tc>
          <w:tcPr>
            <w:tcW w:w="1020" w:type="dxa"/>
            <w:vAlign w:val="center"/>
          </w:tcPr>
          <w:p w14:paraId="00F14A1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531</w:t>
            </w:r>
          </w:p>
        </w:tc>
        <w:tc>
          <w:tcPr>
            <w:tcW w:w="794" w:type="dxa"/>
            <w:vAlign w:val="center"/>
          </w:tcPr>
          <w:p w14:paraId="04E6ED0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4B861A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09E52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2408C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14.84</w:t>
            </w:r>
          </w:p>
        </w:tc>
        <w:tc>
          <w:tcPr>
            <w:tcW w:w="1134" w:type="dxa"/>
            <w:vAlign w:val="center"/>
          </w:tcPr>
          <w:p w14:paraId="008A777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972.00</w:t>
            </w:r>
          </w:p>
        </w:tc>
        <w:tc>
          <w:tcPr>
            <w:tcW w:w="1020" w:type="dxa"/>
            <w:vAlign w:val="center"/>
          </w:tcPr>
          <w:p w14:paraId="7446B8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7431CC1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318</w:t>
            </w:r>
          </w:p>
        </w:tc>
        <w:tc>
          <w:tcPr>
            <w:tcW w:w="794" w:type="dxa"/>
            <w:vAlign w:val="center"/>
          </w:tcPr>
          <w:p w14:paraId="064B83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1F12E8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2150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16F76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75B5FE1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858.00</w:t>
            </w:r>
          </w:p>
        </w:tc>
        <w:tc>
          <w:tcPr>
            <w:tcW w:w="1020" w:type="dxa"/>
            <w:vAlign w:val="center"/>
          </w:tcPr>
          <w:p w14:paraId="62F341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71526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w:t>
            </w:r>
          </w:p>
        </w:tc>
        <w:tc>
          <w:tcPr>
            <w:tcW w:w="794" w:type="dxa"/>
            <w:vAlign w:val="center"/>
          </w:tcPr>
          <w:p w14:paraId="1A8553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228CDD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55EDF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6C1012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908.00</w:t>
            </w:r>
          </w:p>
        </w:tc>
        <w:tc>
          <w:tcPr>
            <w:tcW w:w="1020" w:type="dxa"/>
            <w:vAlign w:val="center"/>
          </w:tcPr>
          <w:p w14:paraId="140204E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8E4CA4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244</w:t>
            </w:r>
          </w:p>
        </w:tc>
        <w:tc>
          <w:tcPr>
            <w:tcW w:w="794" w:type="dxa"/>
            <w:vAlign w:val="center"/>
          </w:tcPr>
          <w:p w14:paraId="1DFACF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417DB4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89.00</w:t>
            </w:r>
          </w:p>
        </w:tc>
        <w:tc>
          <w:tcPr>
            <w:tcW w:w="1020" w:type="dxa"/>
            <w:vAlign w:val="center"/>
          </w:tcPr>
          <w:p w14:paraId="745620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65.81</w:t>
            </w:r>
          </w:p>
        </w:tc>
        <w:tc>
          <w:tcPr>
            <w:tcW w:w="1134" w:type="dxa"/>
            <w:vAlign w:val="center"/>
          </w:tcPr>
          <w:p w14:paraId="675C25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1827.00</w:t>
            </w:r>
          </w:p>
        </w:tc>
        <w:tc>
          <w:tcPr>
            <w:tcW w:w="1020" w:type="dxa"/>
            <w:vAlign w:val="center"/>
          </w:tcPr>
          <w:p w14:paraId="58148B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1020" w:type="dxa"/>
            <w:vAlign w:val="center"/>
          </w:tcPr>
          <w:p w14:paraId="0FB010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587</w:t>
            </w:r>
          </w:p>
        </w:tc>
        <w:tc>
          <w:tcPr>
            <w:tcW w:w="794" w:type="dxa"/>
            <w:vAlign w:val="center"/>
          </w:tcPr>
          <w:p w14:paraId="7C118E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5D589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E3FA5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BB316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26.12</w:t>
            </w:r>
          </w:p>
        </w:tc>
        <w:tc>
          <w:tcPr>
            <w:tcW w:w="1134" w:type="dxa"/>
            <w:vAlign w:val="center"/>
          </w:tcPr>
          <w:p w14:paraId="5ADAA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1059.00</w:t>
            </w:r>
          </w:p>
        </w:tc>
        <w:tc>
          <w:tcPr>
            <w:tcW w:w="1020" w:type="dxa"/>
            <w:vAlign w:val="center"/>
          </w:tcPr>
          <w:p w14:paraId="007797B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02455C0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364</w:t>
            </w:r>
          </w:p>
        </w:tc>
        <w:tc>
          <w:tcPr>
            <w:tcW w:w="794" w:type="dxa"/>
            <w:vAlign w:val="center"/>
          </w:tcPr>
          <w:p w14:paraId="084FC0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65BF87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5F8B43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2E52EA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7B9FD5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951.00</w:t>
            </w:r>
          </w:p>
        </w:tc>
        <w:tc>
          <w:tcPr>
            <w:tcW w:w="1020" w:type="dxa"/>
            <w:vAlign w:val="center"/>
          </w:tcPr>
          <w:p w14:paraId="552CA0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6217477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304</w:t>
            </w:r>
          </w:p>
        </w:tc>
        <w:tc>
          <w:tcPr>
            <w:tcW w:w="794" w:type="dxa"/>
            <w:vAlign w:val="center"/>
          </w:tcPr>
          <w:p w14:paraId="57992D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695D1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2E9E1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60497C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985.00</w:t>
            </w:r>
          </w:p>
        </w:tc>
        <w:tc>
          <w:tcPr>
            <w:tcW w:w="1020" w:type="dxa"/>
            <w:vAlign w:val="center"/>
          </w:tcPr>
          <w:p w14:paraId="6E1C46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7687A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337</w:t>
            </w:r>
          </w:p>
        </w:tc>
        <w:tc>
          <w:tcPr>
            <w:tcW w:w="794" w:type="dxa"/>
            <w:vAlign w:val="center"/>
          </w:tcPr>
          <w:p w14:paraId="0A5124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bl>
    <w:p w14:paraId="71627002">
      <w:pPr>
        <w:spacing w:lineRule="exact" w:line="400" w:before="0" w:after="120"/>
        <w:rPr>
          <w:color w:val="000000" w:themeColor="text1"/>
          <w14:textFill>
            <w14:solidFill>
              <w14:schemeClr w14:val="tx1"/>
            </w14:solidFill>
          </w14:textFill>
        </w:rPr>
      </w:pPr>
    </w:p>
    <w:p w14:paraId="5023B1E9">
      <w:pPr>
        <w:spacing w:line="400" w:lineRule="exact" w:before="0" w:after="120"/>
        <w:jc w:val="both"/>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6-1 尾板面积占比对比</w:t>
      </w:r>
    </w:p>
    <w:p w14:paraId="7ECF6810">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6-2 总线长对比</w:t>
      </w:r>
    </w:p>
    <w:p w14:paraId="58BE7C6E">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6-3 拥挤网格数量对比</w:t>
      </w:r>
    </w:p>
    <w:p>
      <w:pPr>
        <w:pStyle w:val="4"/>
        <w:pageBreakBefore/>
        <w:spacing w:lineRule="exact" w:line="400" w:after="120" w:before="200"/>
        <w:ind/>
        <w:jc w:val="left"/>
      </w:pPr>
      <w:r>
        <w:rPr>
          <w:b/>
          <w:sz w:val="24"/>
          <w:rFonts w:eastAsia="宋体" w:ascii="Times New Roman" w:hAnsi="Times New Roman"/>
        </w:rPr>
        <w:t>6.3 公开EDA案例化验证</w:t>
      </w:r>
    </w:p>
    <w:p>
      <w:pPr>
        <w:spacing w:lineRule="exact" w:line="400" w:after="120"/>
        <w:ind w:firstLine="420"/>
      </w:pPr>
      <w:r>
        <w:rPr>
          <w:sz w:val="24"/>
          <w:rFonts w:eastAsia="宋体" w:ascii="Times New Roman" w:hAnsi="Times New Roman"/>
        </w:rPr>
        <w:t>为进一步验证算法对公开EDA工程的适应性，本文在五组参数化仿真实验之外，选取7个公开EDA案例进行案例化验证。案例覆盖PCIe、mini-PCIe、M.2/NGFF等边缘连接器或金手指类结构；实验脚本从公开KiCad工程及其制造文件中抽取连接器候选、端子数量、Gerber/DRL文件统计和钻孔命中信息，并转换为统一的算法输入。</w:t>
      </w:r>
    </w:p>
    <w:p>
      <w:pPr>
        <w:spacing w:lineRule="exact" w:line="400" w:after="120"/>
        <w:ind/>
        <w:jc w:val="center"/>
      </w:pPr>
      <w:r>
        <w:rPr>
          <w:sz w:val="24"/>
          <w:rFonts w:eastAsia="宋体" w:ascii="Times New Roman" w:hAnsi="Times New Roman"/>
        </w:rPr>
        <w:t>表 6-3 公开EDA案例来源与解析信息</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701"/>
            <w:vAlign w:val="center"/>
            <w:shd w:fill="EAF2F8"/>
          </w:tcPr>
          <w:p>
            <w:pPr>
              <w:spacing w:lineRule="exact" w:line="280" w:after="0"/>
              <w:jc w:val="center"/>
            </w:pPr>
            <w:r/>
            <w:r>
              <w:rPr>
                <w:b/>
                <w:sz w:val="15"/>
                <w:rFonts w:eastAsia="宋体" w:ascii="Times New Roman" w:hAnsi="Times New Roman"/>
              </w:rPr>
              <w:t>案例</w:t>
            </w:r>
          </w:p>
        </w:tc>
        <w:tc>
          <w:tcPr>
            <w:tcW w:type="dxa" w:w="2154"/>
            <w:vAlign w:val="center"/>
            <w:shd w:fill="EAF2F8"/>
          </w:tcPr>
          <w:p>
            <w:pPr>
              <w:spacing w:lineRule="exact" w:line="280" w:after="0"/>
              <w:jc w:val="center"/>
            </w:pPr>
            <w:r/>
            <w:r>
              <w:rPr>
                <w:b/>
                <w:sz w:val="15"/>
                <w:rFonts w:eastAsia="宋体" w:ascii="Times New Roman" w:hAnsi="Times New Roman"/>
              </w:rPr>
              <w:t>公开来源/许可</w:t>
            </w:r>
          </w:p>
        </w:tc>
        <w:tc>
          <w:tcPr>
            <w:tcW w:type="dxa" w:w="1814"/>
            <w:vAlign w:val="center"/>
            <w:shd w:fill="EAF2F8"/>
          </w:tcPr>
          <w:p>
            <w:pPr>
              <w:spacing w:lineRule="exact" w:line="280" w:after="0"/>
              <w:jc w:val="center"/>
            </w:pPr>
            <w:r/>
            <w:r>
              <w:rPr>
                <w:b/>
                <w:sz w:val="15"/>
                <w:rFonts w:eastAsia="宋体" w:ascii="Times New Roman" w:hAnsi="Times New Roman"/>
              </w:rPr>
              <w:t>EDA文件</w:t>
            </w:r>
          </w:p>
        </w:tc>
        <w:tc>
          <w:tcPr>
            <w:tcW w:type="dxa" w:w="2268"/>
            <w:vAlign w:val="center"/>
            <w:shd w:fill="EAF2F8"/>
          </w:tcPr>
          <w:p>
            <w:pPr>
              <w:spacing w:lineRule="exact" w:line="280" w:after="0"/>
              <w:jc w:val="center"/>
            </w:pPr>
            <w:r/>
            <w:r>
              <w:rPr>
                <w:b/>
                <w:sz w:val="15"/>
                <w:rFonts w:eastAsia="宋体" w:ascii="Times New Roman" w:hAnsi="Times New Roman"/>
              </w:rPr>
              <w:t>封装/引脚</w:t>
            </w:r>
          </w:p>
        </w:tc>
        <w:tc>
          <w:tcPr>
            <w:tcW w:type="dxa" w:w="1361"/>
            <w:vAlign w:val="center"/>
            <w:shd w:fill="EAF2F8"/>
          </w:tcPr>
          <w:p>
            <w:pPr>
              <w:spacing w:lineRule="exact" w:line="280" w:after="0"/>
              <w:jc w:val="center"/>
            </w:pPr>
            <w:r/>
            <w:r>
              <w:rPr>
                <w:b/>
                <w:sz w:val="15"/>
                <w:rFonts w:eastAsia="宋体" w:ascii="Times New Roman" w:hAnsi="Times New Roman"/>
              </w:rPr>
              <w:t>Gerber/DRL/钻孔</w:t>
            </w:r>
          </w:p>
        </w:tc>
      </w:tr>
      <w:tr>
        <w:tc>
          <w:tcPr>
            <w:tcW w:type="dxa" w:w="1701"/>
            <w:vAlign w:val="center"/>
          </w:tcPr>
          <w:p>
            <w:pPr>
              <w:spacing w:lineRule="exact" w:line="280" w:after="0"/>
              <w:jc w:val="left"/>
            </w:pPr>
            <w:r/>
            <w:r>
              <w:rPr>
                <w:b w:val="0"/>
                <w:sz w:val="15"/>
                <w:rFonts w:eastAsia="宋体" w:ascii="Times New Roman" w:hAnsi="Times New Roman"/>
              </w:rPr>
              <w:t>pcie test dual ww37</w:t>
            </w:r>
          </w:p>
        </w:tc>
        <w:tc>
          <w:tcPr>
            <w:tcW w:type="dxa" w:w="2154"/>
            <w:vAlign w:val="center"/>
          </w:tcPr>
          <w:p>
            <w:pPr>
              <w:spacing w:lineRule="exact" w:line="280" w:after="0"/>
              <w:jc w:val="left"/>
            </w:pPr>
            <w:r/>
            <w:r>
              <w:rPr>
                <w:b w:val="0"/>
                <w:sz w:val="15"/>
                <w:rFonts w:eastAsia="宋体" w:ascii="Times New Roman" w:hAnsi="Times New Roman"/>
              </w:rPr>
              <w:t>mengstr/PCIeTestPCB</w:t>
              <w:br/>
              <w:t>CC0-1.0</w:t>
            </w:r>
          </w:p>
        </w:tc>
        <w:tc>
          <w:tcPr>
            <w:tcW w:type="dxa" w:w="1814"/>
            <w:vAlign w:val="center"/>
          </w:tcPr>
          <w:p>
            <w:pPr>
              <w:spacing w:lineRule="exact" w:line="280" w:after="0"/>
              <w:jc w:val="center"/>
            </w:pPr>
            <w:r/>
            <w:r>
              <w:rPr>
                <w:b w:val="0"/>
                <w:sz w:val="15"/>
                <w:rFonts w:eastAsia="宋体" w:ascii="Times New Roman" w:hAnsi="Times New Roman"/>
              </w:rPr>
              <w:t>PCIeTest.kicad_pcb</w:t>
            </w:r>
          </w:p>
        </w:tc>
        <w:tc>
          <w:tcPr>
            <w:tcW w:type="dxa" w:w="2268"/>
            <w:vAlign w:val="center"/>
          </w:tcPr>
          <w:p>
            <w:pPr>
              <w:spacing w:lineRule="exact" w:line="280" w:after="0"/>
              <w:jc w:val="left"/>
            </w:pPr>
            <w:r/>
            <w:r>
              <w:rPr>
                <w:b w:val="0"/>
                <w:sz w:val="15"/>
                <w:rFonts w:eastAsia="宋体" w:ascii="Times New Roman" w:hAnsi="Times New Roman"/>
              </w:rPr>
              <w:t>matseng:PAD64-1.5_1.0</w:t>
              <w:br/>
              <w:t>64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pcie breakout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center"/>
            </w:pPr>
            <w:r/>
            <w:r>
              <w:rPr>
                <w:b w:val="0"/>
                <w:sz w:val="15"/>
                <w:rFonts w:eastAsia="宋体" w:ascii="Times New Roman" w:hAnsi="Times New Roman"/>
              </w:rPr>
              <w:t>Pi5_PCIe.kicad_pcb</w:t>
            </w:r>
          </w:p>
        </w:tc>
        <w:tc>
          <w:tcPr>
            <w:tcW w:type="dxa" w:w="2268"/>
            <w:vAlign w:val="center"/>
          </w:tcPr>
          <w:p>
            <w:pPr>
              <w:spacing w:lineRule="exact" w:line="280" w:after="0"/>
              <w:jc w:val="left"/>
            </w:pPr>
            <w:r/>
            <w:r>
              <w:rPr>
                <w:b w:val="0"/>
                <w:sz w:val="15"/>
                <w:rFonts w:eastAsia="宋体" w:ascii="Times New Roman" w:hAnsi="Times New Roman"/>
              </w:rPr>
              <w:t>10018783-11200TLF:AMPHENOL_10018783-11200TLF</w:t>
              <w:br/>
              <w:t>36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m2 hat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left"/>
            </w:pPr>
            <w:r/>
            <w:r>
              <w:rPr>
                <w:b w:val="0"/>
                <w:sz w:val="15"/>
                <w:rFonts w:eastAsia="宋体" w:ascii="Times New Roman" w:hAnsi="Times New Roman"/>
              </w:rPr>
              <w:t>Pi5_M2_Hat.kicad_pcb</w:t>
            </w:r>
          </w:p>
        </w:tc>
        <w:tc>
          <w:tcPr>
            <w:tcW w:type="dxa" w:w="2268"/>
            <w:vAlign w:val="center"/>
          </w:tcPr>
          <w:p>
            <w:pPr>
              <w:spacing w:lineRule="exact" w:line="280" w:after="0"/>
              <w:jc w:val="left"/>
            </w:pPr>
            <w:r/>
            <w:r>
              <w:rPr>
                <w:b w:val="0"/>
                <w:sz w:val="15"/>
                <w:rFonts w:eastAsia="宋体" w:ascii="Times New Roman" w:hAnsi="Times New Roman"/>
              </w:rPr>
              <w:t>ngff:AMPHENOL_MDT420M03001</w:t>
              <w:br/>
              <w:t>69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pcie aux signal breakout</w:t>
            </w:r>
          </w:p>
        </w:tc>
        <w:tc>
          <w:tcPr>
            <w:tcW w:type="dxa" w:w="2154"/>
            <w:vAlign w:val="center"/>
          </w:tcPr>
          <w:p>
            <w:pPr>
              <w:spacing w:lineRule="exact" w:line="280" w:after="0"/>
              <w:jc w:val="left"/>
            </w:pPr>
            <w:r/>
            <w:r>
              <w:rPr>
                <w:b w:val="0"/>
                <w:sz w:val="15"/>
                <w:rFonts w:eastAsia="宋体" w:ascii="Times New Roman" w:hAnsi="Times New Roman"/>
              </w:rPr>
              <w:t>Supercookiegaming/PCIe-Aux-Signal-Breakout</w:t>
              <w:br/>
              <w:t>not specified</w:t>
            </w:r>
          </w:p>
        </w:tc>
        <w:tc>
          <w:tcPr>
            <w:tcW w:type="dxa" w:w="1814"/>
            <w:vAlign w:val="center"/>
          </w:tcPr>
          <w:p>
            <w:pPr>
              <w:spacing w:lineRule="exact" w:line="280" w:after="0"/>
              <w:jc w:val="left"/>
            </w:pPr>
            <w:r/>
            <w:r>
              <w:rPr>
                <w:b w:val="0"/>
                <w:sz w:val="15"/>
                <w:rFonts w:eastAsia="宋体" w:ascii="Times New Roman" w:hAnsi="Times New Roman"/>
              </w:rPr>
              <w:t>PCIe-Aux-Signal-Breakout.kicad_pcb</w:t>
            </w:r>
          </w:p>
        </w:tc>
        <w:tc>
          <w:tcPr>
            <w:tcW w:type="dxa" w:w="2268"/>
            <w:vAlign w:val="center"/>
          </w:tcPr>
          <w:p>
            <w:pPr>
              <w:spacing w:lineRule="exact" w:line="280" w:after="0"/>
              <w:jc w:val="left"/>
            </w:pPr>
            <w:r/>
            <w:r>
              <w:rPr>
                <w:b w:val="0"/>
                <w:sz w:val="15"/>
                <w:rFonts w:eastAsia="宋体" w:ascii="Times New Roman" w:hAnsi="Times New Roman"/>
              </w:rPr>
              <w:t>PCIexpress:PCIexpress_x1</w:t>
              <w:br/>
              <w:t>36 pin</w:t>
            </w:r>
          </w:p>
        </w:tc>
        <w:tc>
          <w:tcPr>
            <w:tcW w:type="dxa" w:w="1361"/>
            <w:vAlign w:val="center"/>
          </w:tcPr>
          <w:p>
            <w:pPr>
              <w:spacing w:lineRule="exact" w:line="280" w:after="0"/>
              <w:jc w:val="center"/>
            </w:pPr>
            <w:r/>
            <w:r>
              <w:rPr>
                <w:b w:val="0"/>
                <w:sz w:val="15"/>
                <w:rFonts w:eastAsia="宋体" w:ascii="Times New Roman" w:hAnsi="Times New Roman"/>
              </w:rPr>
              <w:t>9/2/52</w:t>
            </w:r>
          </w:p>
        </w:tc>
      </w:tr>
      <w:tr>
        <w:tc>
          <w:tcPr>
            <w:tcW w:type="dxa" w:w="1701"/>
            <w:vAlign w:val="center"/>
          </w:tcPr>
          <w:p>
            <w:pPr>
              <w:spacing w:lineRule="exact" w:line="280" w:after="0"/>
              <w:jc w:val="left"/>
            </w:pPr>
            <w:r/>
            <w:r>
              <w:rPr>
                <w:b w:val="0"/>
                <w:sz w:val="15"/>
                <w:rFonts w:eastAsia="宋体" w:ascii="Times New Roman" w:hAnsi="Times New Roman"/>
              </w:rPr>
              <w:t>mini pcie reference</w:t>
            </w:r>
          </w:p>
        </w:tc>
        <w:tc>
          <w:tcPr>
            <w:tcW w:type="dxa" w:w="2154"/>
            <w:vAlign w:val="center"/>
          </w:tcPr>
          <w:p>
            <w:pPr>
              <w:spacing w:lineRule="exact" w:line="280" w:after="0"/>
              <w:jc w:val="left"/>
            </w:pPr>
            <w:r/>
            <w:r>
              <w:rPr>
                <w:b w:val="0"/>
                <w:sz w:val="15"/>
                <w:rFonts w:eastAsia="宋体" w:ascii="Times New Roman" w:hAnsi="Times New Roman"/>
              </w:rPr>
              <w:t>mithro/kicad-mini-pci-express</w:t>
              <w:br/>
              <w:t>Apache-2.0</w:t>
            </w:r>
          </w:p>
        </w:tc>
        <w:tc>
          <w:tcPr>
            <w:tcW w:type="dxa" w:w="1814"/>
            <w:vAlign w:val="center"/>
          </w:tcPr>
          <w:p>
            <w:pPr>
              <w:spacing w:lineRule="exact" w:line="280" w:after="0"/>
              <w:jc w:val="center"/>
            </w:pPr>
            <w:r/>
            <w:r>
              <w:rPr>
                <w:b w:val="0"/>
                <w:sz w:val="15"/>
                <w:rFonts w:eastAsia="宋体" w:ascii="Times New Roman" w:hAnsi="Times New Roman"/>
              </w:rPr>
              <w:t>mpcie.kicad_pcb</w:t>
            </w:r>
          </w:p>
        </w:tc>
        <w:tc>
          <w:tcPr>
            <w:tcW w:type="dxa" w:w="2268"/>
            <w:vAlign w:val="center"/>
          </w:tcPr>
          <w:p>
            <w:pPr>
              <w:spacing w:lineRule="exact" w:line="280" w:after="0"/>
              <w:jc w:val="left"/>
            </w:pPr>
            <w:r/>
            <w:r>
              <w:rPr>
                <w:b w:val="0"/>
                <w:sz w:val="15"/>
                <w:rFonts w:eastAsia="宋体" w:ascii="Times New Roman" w:hAnsi="Times New Roman"/>
              </w:rPr>
              <w:t>mpcie:mpcie-full-card</w:t>
              <w:br/>
              <w:t>52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coral dual m2 adapter</w:t>
            </w:r>
          </w:p>
        </w:tc>
        <w:tc>
          <w:tcPr>
            <w:tcW w:type="dxa" w:w="2154"/>
            <w:vAlign w:val="center"/>
          </w:tcPr>
          <w:p>
            <w:pPr>
              <w:spacing w:lineRule="exact" w:line="280" w:after="0"/>
              <w:jc w:val="left"/>
            </w:pPr>
            <w:r/>
            <w:r>
              <w:rPr>
                <w:b w:val="0"/>
                <w:sz w:val="15"/>
                <w:rFonts w:eastAsia="宋体" w:ascii="Times New Roman" w:hAnsi="Times New Roman"/>
              </w:rPr>
              <w:t>serg987/coral-dual-m2-adapter-pcb</w:t>
              <w:br/>
              <w:t>GPL-3.0</w:t>
            </w:r>
          </w:p>
        </w:tc>
        <w:tc>
          <w:tcPr>
            <w:tcW w:type="dxa" w:w="1814"/>
            <w:vAlign w:val="center"/>
          </w:tcPr>
          <w:p>
            <w:pPr>
              <w:spacing w:lineRule="exact" w:line="280" w:after="0"/>
              <w:jc w:val="left"/>
            </w:pPr>
            <w:r/>
            <w:r>
              <w:rPr>
                <w:b w:val="0"/>
                <w:sz w:val="15"/>
                <w:rFonts w:eastAsia="宋体" w:ascii="Times New Roman" w:hAnsi="Times New Roman"/>
              </w:rPr>
              <w:t>m2_coral_dual_adapter.kicad_pcb</w:t>
            </w:r>
          </w:p>
        </w:tc>
        <w:tc>
          <w:tcPr>
            <w:tcW w:type="dxa" w:w="2268"/>
            <w:vAlign w:val="center"/>
          </w:tcPr>
          <w:p>
            <w:pPr>
              <w:spacing w:lineRule="exact" w:line="280" w:after="0"/>
              <w:jc w:val="left"/>
            </w:pPr>
            <w:r/>
            <w:r>
              <w:rPr>
                <w:b w:val="0"/>
                <w:sz w:val="15"/>
                <w:rFonts w:eastAsia="宋体" w:ascii="Times New Roman" w:hAnsi="Times New Roman"/>
              </w:rPr>
              <w:t>nvme_ae_to_m:Conn_TE-M.2-0.5-67P-doublesided_TypeE</w:t>
              <w:br/>
              <w:t>68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usb3 ngff carrier</w:t>
            </w:r>
          </w:p>
        </w:tc>
        <w:tc>
          <w:tcPr>
            <w:tcW w:type="dxa" w:w="2154"/>
            <w:vAlign w:val="center"/>
          </w:tcPr>
          <w:p>
            <w:pPr>
              <w:spacing w:lineRule="exact" w:line="280" w:after="0"/>
              <w:jc w:val="left"/>
            </w:pPr>
            <w:r/>
            <w:r>
              <w:rPr>
                <w:b w:val="0"/>
                <w:sz w:val="15"/>
                <w:rFonts w:eastAsia="宋体" w:ascii="Times New Roman" w:hAnsi="Times New Roman"/>
              </w:rPr>
              <w:t>themainframe/5g-m2-usb3-interface-pcb</w:t>
              <w:br/>
              <w:t>MIT</w:t>
            </w:r>
          </w:p>
        </w:tc>
        <w:tc>
          <w:tcPr>
            <w:tcW w:type="dxa" w:w="1814"/>
            <w:vAlign w:val="center"/>
          </w:tcPr>
          <w:p>
            <w:pPr>
              <w:spacing w:lineRule="exact" w:line="280" w:after="0"/>
              <w:jc w:val="left"/>
            </w:pPr>
            <w:r/>
            <w:r>
              <w:rPr>
                <w:b w:val="0"/>
                <w:sz w:val="15"/>
                <w:rFonts w:eastAsia="宋体" w:ascii="Times New Roman" w:hAnsi="Times New Roman"/>
              </w:rPr>
              <w:t>usb3-ngff-carrier.kicad_pcb</w:t>
            </w:r>
          </w:p>
        </w:tc>
        <w:tc>
          <w:tcPr>
            <w:tcW w:type="dxa" w:w="2268"/>
            <w:vAlign w:val="center"/>
          </w:tcPr>
          <w:p>
            <w:pPr>
              <w:spacing w:lineRule="exact" w:line="280" w:after="0"/>
              <w:jc w:val="left"/>
            </w:pPr>
            <w:r/>
            <w:r>
              <w:rPr>
                <w:b w:val="0"/>
                <w:sz w:val="15"/>
                <w:rFonts w:eastAsia="宋体" w:ascii="Times New Roman" w:hAnsi="Times New Roman"/>
              </w:rPr>
              <w:t>footprint:TE_2199119-3</w:t>
              <w:br/>
              <w:t>69 pin</w:t>
            </w:r>
          </w:p>
        </w:tc>
        <w:tc>
          <w:tcPr>
            <w:tcW w:type="dxa" w:w="1361"/>
            <w:vAlign w:val="center"/>
          </w:tcPr>
          <w:p>
            <w:pPr>
              <w:spacing w:lineRule="exact" w:line="280" w:after="0"/>
              <w:jc w:val="center"/>
            </w:pPr>
            <w:r/>
            <w:r>
              <w:rPr>
                <w:b w:val="0"/>
                <w:sz w:val="15"/>
                <w:rFonts w:eastAsia="宋体" w:ascii="Times New Roman" w:hAnsi="Times New Roman"/>
              </w:rPr>
              <w:t>11/2/425</w:t>
            </w:r>
          </w:p>
        </w:tc>
      </w:tr>
    </w:tbl>
    <w:p>
      <w:pPr>
        <w:spacing w:lineRule="exact" w:line="400" w:after="120"/>
      </w:pPr>
    </w:p>
    <w:p>
      <w:pPr>
        <w:spacing w:lineRule="exact" w:line="400" w:after="120"/>
        <w:ind w:firstLine="420"/>
      </w:pPr>
      <w:r>
        <w:rPr>
          <w:sz w:val="24"/>
          <w:rFonts w:eastAsia="宋体" w:ascii="Times New Roman" w:hAnsi="Times New Roman"/>
        </w:rPr>
        <w:t>表 6-3 表明，公开EDA案例既包括仅提供KiCad原生板文件的工程，也包括同时提供Gerber和Excellon/DRL制造文件的工程。该数据结构能够验证解析脚本对板框、端子、封装和制造文件统计信息的提取能力。</w:t>
      </w:r>
    </w:p>
    <w:p>
      <w:pPr>
        <w:spacing w:lineRule="exact" w:line="400" w:after="120"/>
        <w:ind/>
        <w:jc w:val="center"/>
      </w:pPr>
      <w:r>
        <w:rPr>
          <w:sz w:val="24"/>
          <w:rFonts w:eastAsia="宋体" w:ascii="Times New Roman" w:hAnsi="Times New Roman"/>
        </w:rPr>
        <w:t>表 6-4 公开EDA案例规则基线与设计算法对比</w:t>
      </w:r>
    </w:p>
    <w:tbl>
      <w:tblPr>
        <w:tblStyle w:val="33"/>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814"/>
            <w:vAlign w:val="center"/>
            <w:shd w:fill="EAF2F8"/>
          </w:tcPr>
          <w:p>
            <w:pPr>
              <w:spacing w:lineRule="exact" w:line="280" w:after="0"/>
              <w:jc w:val="center"/>
            </w:pPr>
            <w:r/>
            <w:r>
              <w:rPr>
                <w:b/>
                <w:sz w:val="16"/>
                <w:rFonts w:eastAsia="宋体" w:ascii="Times New Roman" w:hAnsi="Times New Roman"/>
              </w:rPr>
              <w:t>案例</w:t>
            </w:r>
          </w:p>
        </w:tc>
        <w:tc>
          <w:tcPr>
            <w:tcW w:type="dxa" w:w="1191"/>
            <w:vAlign w:val="center"/>
            <w:shd w:fill="EAF2F8"/>
          </w:tcPr>
          <w:p>
            <w:pPr>
              <w:spacing w:lineRule="exact" w:line="280" w:after="0"/>
              <w:jc w:val="center"/>
            </w:pPr>
            <w:r/>
            <w:r>
              <w:rPr>
                <w:b/>
                <w:sz w:val="16"/>
                <w:rFonts w:eastAsia="宋体" w:ascii="Times New Roman" w:hAnsi="Times New Roman"/>
              </w:rPr>
              <w:t>基线布通/%</w:t>
            </w:r>
          </w:p>
        </w:tc>
        <w:tc>
          <w:tcPr>
            <w:tcW w:type="dxa" w:w="1191"/>
            <w:vAlign w:val="center"/>
            <w:shd w:fill="EAF2F8"/>
          </w:tcPr>
          <w:p>
            <w:pPr>
              <w:spacing w:lineRule="exact" w:line="280" w:after="0"/>
              <w:jc w:val="center"/>
            </w:pPr>
            <w:r/>
            <w:r>
              <w:rPr>
                <w:b/>
                <w:sz w:val="16"/>
                <w:rFonts w:eastAsia="宋体" w:ascii="Times New Roman" w:hAnsi="Times New Roman"/>
              </w:rPr>
              <w:t>算法布通/%</w:t>
            </w:r>
          </w:p>
        </w:tc>
        <w:tc>
          <w:tcPr>
            <w:tcW w:type="dxa" w:w="1191"/>
            <w:vAlign w:val="center"/>
            <w:shd w:fill="EAF2F8"/>
          </w:tcPr>
          <w:p>
            <w:pPr>
              <w:spacing w:lineRule="exact" w:line="280" w:after="0"/>
              <w:jc w:val="center"/>
            </w:pPr>
            <w:r/>
            <w:r>
              <w:rPr>
                <w:b/>
                <w:sz w:val="16"/>
                <w:rFonts w:eastAsia="宋体" w:ascii="Times New Roman" w:hAnsi="Times New Roman"/>
              </w:rPr>
              <w:t>基线面积/%</w:t>
            </w:r>
          </w:p>
        </w:tc>
        <w:tc>
          <w:tcPr>
            <w:tcW w:type="dxa" w:w="1191"/>
            <w:vAlign w:val="center"/>
            <w:shd w:fill="EAF2F8"/>
          </w:tcPr>
          <w:p>
            <w:pPr>
              <w:spacing w:lineRule="exact" w:line="280" w:after="0"/>
              <w:jc w:val="center"/>
            </w:pPr>
            <w:r/>
            <w:r>
              <w:rPr>
                <w:b/>
                <w:sz w:val="16"/>
                <w:rFonts w:eastAsia="宋体" w:ascii="Times New Roman" w:hAnsi="Times New Roman"/>
              </w:rPr>
              <w:t>算法面积/%</w:t>
            </w:r>
          </w:p>
        </w:tc>
        <w:tc>
          <w:tcPr>
            <w:tcW w:type="dxa" w:w="1020"/>
            <w:vAlign w:val="center"/>
            <w:shd w:fill="EAF2F8"/>
          </w:tcPr>
          <w:p>
            <w:pPr>
              <w:spacing w:lineRule="exact" w:line="280" w:after="0"/>
              <w:jc w:val="center"/>
            </w:pPr>
            <w:r/>
            <w:r>
              <w:rPr>
                <w:b/>
                <w:sz w:val="16"/>
                <w:rFonts w:eastAsia="宋体" w:ascii="Times New Roman" w:hAnsi="Times New Roman"/>
              </w:rPr>
              <w:t>基线违规</w:t>
            </w:r>
          </w:p>
        </w:tc>
        <w:tc>
          <w:tcPr>
            <w:tcW w:type="dxa" w:w="1020"/>
            <w:vAlign w:val="center"/>
            <w:shd w:fill="EAF2F8"/>
          </w:tcPr>
          <w:p>
            <w:pPr>
              <w:spacing w:lineRule="exact" w:line="280" w:after="0"/>
              <w:jc w:val="center"/>
            </w:pPr>
            <w:r/>
            <w:r>
              <w:rPr>
                <w:b/>
                <w:sz w:val="16"/>
                <w:rFonts w:eastAsia="宋体" w:ascii="Times New Roman" w:hAnsi="Times New Roman"/>
              </w:rPr>
              <w:t>算法违规</w:t>
            </w:r>
          </w:p>
        </w:tc>
      </w:tr>
      <w:tr>
        <w:tc>
          <w:tcPr>
            <w:tcW w:type="dxa" w:w="1814"/>
            <w:vAlign w:val="center"/>
          </w:tcPr>
          <w:p>
            <w:pPr>
              <w:spacing w:lineRule="exact" w:line="280" w:after="0"/>
              <w:jc w:val="left"/>
            </w:pPr>
            <w:r/>
            <w:r>
              <w:rPr>
                <w:b w:val="0"/>
                <w:sz w:val="16"/>
                <w:rFonts w:eastAsia="宋体" w:ascii="Times New Roman" w:hAnsi="Times New Roman"/>
              </w:rPr>
              <w:t>pcie test dual ww37</w:t>
            </w:r>
          </w:p>
        </w:tc>
        <w:tc>
          <w:tcPr>
            <w:tcW w:type="dxa" w:w="1191"/>
            <w:vAlign w:val="center"/>
          </w:tcPr>
          <w:p>
            <w:pPr>
              <w:spacing w:lineRule="exact" w:line="280" w:after="0"/>
              <w:jc w:val="center"/>
            </w:pPr>
            <w:r/>
            <w:r>
              <w:rPr>
                <w:b w:val="0"/>
                <w:sz w:val="16"/>
                <w:rFonts w:eastAsia="宋体" w:ascii="Times New Roman" w:hAnsi="Times New Roman"/>
              </w:rPr>
              <w:t>98.44</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73.91</w:t>
            </w:r>
          </w:p>
        </w:tc>
        <w:tc>
          <w:tcPr>
            <w:tcW w:type="dxa" w:w="1191"/>
            <w:vAlign w:val="center"/>
          </w:tcPr>
          <w:p>
            <w:pPr>
              <w:spacing w:lineRule="exact" w:line="280" w:after="0"/>
              <w:jc w:val="center"/>
            </w:pPr>
            <w:r/>
            <w:r>
              <w:rPr>
                <w:b w:val="0"/>
                <w:sz w:val="16"/>
                <w:rFonts w:eastAsia="宋体" w:ascii="Times New Roman" w:hAnsi="Times New Roman"/>
              </w:rPr>
              <w:t>11.37</w:t>
            </w:r>
          </w:p>
        </w:tc>
        <w:tc>
          <w:tcPr>
            <w:tcW w:type="dxa" w:w="1020"/>
            <w:vAlign w:val="center"/>
          </w:tcPr>
          <w:p>
            <w:pPr>
              <w:spacing w:lineRule="exact" w:line="280" w:after="0"/>
              <w:jc w:val="center"/>
            </w:pPr>
            <w:r/>
            <w:r>
              <w:rPr>
                <w:b w:val="0"/>
                <w:sz w:val="16"/>
                <w:rFonts w:eastAsia="宋体" w:ascii="Times New Roman" w:hAnsi="Times New Roman"/>
              </w:rPr>
              <w:t>1</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pi5 pcie breakout</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74.40</w:t>
            </w:r>
          </w:p>
        </w:tc>
        <w:tc>
          <w:tcPr>
            <w:tcW w:type="dxa" w:w="1191"/>
            <w:vAlign w:val="center"/>
          </w:tcPr>
          <w:p>
            <w:pPr>
              <w:spacing w:lineRule="exact" w:line="280" w:after="0"/>
              <w:jc w:val="center"/>
            </w:pPr>
            <w:r/>
            <w:r>
              <w:rPr>
                <w:b w:val="0"/>
                <w:sz w:val="16"/>
                <w:rFonts w:eastAsia="宋体" w:ascii="Times New Roman" w:hAnsi="Times New Roman"/>
              </w:rPr>
              <w:t>22.85</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pi5 m2 hat</w:t>
            </w:r>
          </w:p>
        </w:tc>
        <w:tc>
          <w:tcPr>
            <w:tcW w:type="dxa" w:w="1191"/>
            <w:vAlign w:val="center"/>
          </w:tcPr>
          <w:p>
            <w:pPr>
              <w:spacing w:lineRule="exact" w:line="280" w:after="0"/>
              <w:jc w:val="center"/>
            </w:pPr>
            <w:r/>
            <w:r>
              <w:rPr>
                <w:b w:val="0"/>
                <w:sz w:val="16"/>
                <w:rFonts w:eastAsia="宋体" w:ascii="Times New Roman" w:hAnsi="Times New Roman"/>
              </w:rPr>
              <w:t>37.68</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72.02</w:t>
            </w:r>
          </w:p>
        </w:tc>
        <w:tc>
          <w:tcPr>
            <w:tcW w:type="dxa" w:w="1191"/>
            <w:vAlign w:val="center"/>
          </w:tcPr>
          <w:p>
            <w:pPr>
              <w:spacing w:lineRule="exact" w:line="280" w:after="0"/>
              <w:jc w:val="center"/>
            </w:pPr>
            <w:r/>
            <w:r>
              <w:rPr>
                <w:b w:val="0"/>
                <w:sz w:val="16"/>
                <w:rFonts w:eastAsia="宋体" w:ascii="Times New Roman" w:hAnsi="Times New Roman"/>
              </w:rPr>
              <w:t>44.18</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pcie aux signal breakout</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73.29</w:t>
            </w:r>
          </w:p>
        </w:tc>
        <w:tc>
          <w:tcPr>
            <w:tcW w:type="dxa" w:w="1191"/>
            <w:vAlign w:val="center"/>
          </w:tcPr>
          <w:p>
            <w:pPr>
              <w:spacing w:lineRule="exact" w:line="280" w:after="0"/>
              <w:jc w:val="center"/>
            </w:pPr>
            <w:r/>
            <w:r>
              <w:rPr>
                <w:b w:val="0"/>
                <w:sz w:val="16"/>
                <w:rFonts w:eastAsia="宋体" w:ascii="Times New Roman" w:hAnsi="Times New Roman"/>
              </w:rPr>
              <w:t>16.87</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mini pcie reference</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70.10</w:t>
            </w:r>
          </w:p>
        </w:tc>
        <w:tc>
          <w:tcPr>
            <w:tcW w:type="dxa" w:w="1191"/>
            <w:vAlign w:val="center"/>
          </w:tcPr>
          <w:p>
            <w:pPr>
              <w:spacing w:lineRule="exact" w:line="280" w:after="0"/>
              <w:jc w:val="center"/>
            </w:pPr>
            <w:r/>
            <w:r>
              <w:rPr>
                <w:b w:val="0"/>
                <w:sz w:val="16"/>
                <w:rFonts w:eastAsia="宋体" w:ascii="Times New Roman" w:hAnsi="Times New Roman"/>
              </w:rPr>
              <w:t>22.55</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coral dual m2 adapter</w:t>
            </w:r>
          </w:p>
        </w:tc>
        <w:tc>
          <w:tcPr>
            <w:tcW w:type="dxa" w:w="1191"/>
            <w:vAlign w:val="center"/>
          </w:tcPr>
          <w:p>
            <w:pPr>
              <w:spacing w:lineRule="exact" w:line="280" w:after="0"/>
              <w:jc w:val="center"/>
            </w:pPr>
            <w:r/>
            <w:r>
              <w:rPr>
                <w:b w:val="0"/>
                <w:sz w:val="16"/>
                <w:rFonts w:eastAsia="宋体" w:ascii="Times New Roman" w:hAnsi="Times New Roman"/>
              </w:rPr>
              <w:t>36.76</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72.36</w:t>
            </w:r>
          </w:p>
        </w:tc>
        <w:tc>
          <w:tcPr>
            <w:tcW w:type="dxa" w:w="1191"/>
            <w:vAlign w:val="center"/>
          </w:tcPr>
          <w:p>
            <w:pPr>
              <w:spacing w:lineRule="exact" w:line="280" w:after="0"/>
              <w:jc w:val="center"/>
            </w:pPr>
            <w:r/>
            <w:r>
              <w:rPr>
                <w:b w:val="0"/>
                <w:sz w:val="16"/>
                <w:rFonts w:eastAsia="宋体" w:ascii="Times New Roman" w:hAnsi="Times New Roman"/>
              </w:rPr>
              <w:t>38.88</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usb3 ngff carrier</w:t>
            </w:r>
          </w:p>
        </w:tc>
        <w:tc>
          <w:tcPr>
            <w:tcW w:type="dxa" w:w="1191"/>
            <w:vAlign w:val="center"/>
          </w:tcPr>
          <w:p>
            <w:pPr>
              <w:spacing w:lineRule="exact" w:line="280" w:after="0"/>
              <w:jc w:val="center"/>
            </w:pPr>
            <w:r/>
            <w:r>
              <w:rPr>
                <w:b w:val="0"/>
                <w:sz w:val="16"/>
                <w:rFonts w:eastAsia="宋体" w:ascii="Times New Roman" w:hAnsi="Times New Roman"/>
              </w:rPr>
              <w:t>37.68</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70.00</w:t>
            </w:r>
          </w:p>
        </w:tc>
        <w:tc>
          <w:tcPr>
            <w:tcW w:type="dxa" w:w="1191"/>
            <w:vAlign w:val="center"/>
          </w:tcPr>
          <w:p>
            <w:pPr>
              <w:spacing w:lineRule="exact" w:line="280" w:after="0"/>
              <w:jc w:val="center"/>
            </w:pPr>
            <w:r/>
            <w:r>
              <w:rPr>
                <w:b w:val="0"/>
                <w:sz w:val="16"/>
                <w:rFonts w:eastAsia="宋体" w:ascii="Times New Roman" w:hAnsi="Times New Roman"/>
              </w:rPr>
              <w:t>37.92</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bl>
    <w:p>
      <w:pPr>
        <w:spacing w:lineRule="exact" w:line="40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778508"/>
                  <wp:docPr id="14" name="Picture 14"/>
                  <wp:cNvGraphicFramePr>
                    <a:graphicFrameLocks noChangeAspect="1"/>
                  </wp:cNvGraphicFramePr>
                  <a:graphic>
                    <a:graphicData uri="http://schemas.openxmlformats.org/drawingml/2006/picture">
                      <pic:pic>
                        <pic:nvPicPr>
                          <pic:cNvPr id="0" name="01_original_pcb.png"/>
                          <pic:cNvPicPr/>
                        </pic:nvPicPr>
                        <pic:blipFill>
                          <a:blip r:embed="rId37"/>
                          <a:stretch>
                            <a:fillRect/>
                          </a:stretch>
                        </pic:blipFill>
                        <pic:spPr>
                          <a:xfrm>
                            <a:off x="0" y="0"/>
                            <a:ext cx="2514600" cy="1778508"/>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02_parse_overlay.png"/>
                          <pic:cNvPicPr/>
                        </pic:nvPicPr>
                        <pic:blipFill>
                          <a:blip r:embed="rId38"/>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573786"/>
                  <wp:docPr id="16" name="Picture 16"/>
                  <wp:cNvGraphicFramePr>
                    <a:graphicFrameLocks noChangeAspect="1"/>
                  </wp:cNvGraphicFramePr>
                  <a:graphic>
                    <a:graphicData uri="http://schemas.openxmlformats.org/drawingml/2006/picture">
                      <pic:pic>
                        <pic:nvPicPr>
                          <pic:cNvPr id="0" name="02_baseline_rule.png"/>
                          <pic:cNvPicPr/>
                        </pic:nvPicPr>
                        <pic:blipFill>
                          <a:blip r:embed="rId39"/>
                          <a:stretch>
                            <a:fillRect/>
                          </a:stretch>
                        </pic:blipFill>
                        <pic:spPr>
                          <a:xfrm>
                            <a:off x="0" y="0"/>
                            <a:ext cx="2514600" cy="573786"/>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573786"/>
                  <wp:docPr id="17" name="Picture 17"/>
                  <wp:cNvGraphicFramePr>
                    <a:graphicFrameLocks noChangeAspect="1"/>
                  </wp:cNvGraphicFramePr>
                  <a:graphic>
                    <a:graphicData uri="http://schemas.openxmlformats.org/drawingml/2006/picture">
                      <pic:pic>
                        <pic:nvPicPr>
                          <pic:cNvPr id="0" name="03_algorithm_pso_congestion_reroute_astar.png"/>
                          <pic:cNvPicPr/>
                        </pic:nvPicPr>
                        <pic:blipFill>
                          <a:blip r:embed="rId40"/>
                          <a:stretch>
                            <a:fillRect/>
                          </a:stretch>
                        </pic:blipFill>
                        <pic:spPr>
                          <a:xfrm>
                            <a:off x="0" y="0"/>
                            <a:ext cx="2514600" cy="573786"/>
                          </a:xfrm>
                          <a:prstGeom prst="rect"/>
                        </pic:spPr>
                      </pic:pic>
                    </a:graphicData>
                  </a:graphic>
                </wp:inline>
              </w:drawing>
            </w:r>
          </w:p>
        </w:tc>
      </w:tr>
    </w:tbl>
    <w:p>
      <w:pPr>
        <w:jc w:val="center"/>
      </w:pPr>
      <w:r>
        <w:rPr>
          <w:rFonts w:ascii="宋体" w:hAnsi="宋体" w:eastAsia="宋体"/>
          <w:sz w:val="21"/>
        </w:rPr>
        <w:t>图 6-4 pcie test dual ww37案例独立截图对比</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778508"/>
                  <wp:docPr id="14" name="Picture 1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514600" cy="1778508"/>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646089"/>
                  <wp:docPr id="16" name="Picture 1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514600" cy="646089"/>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646089"/>
                  <wp:docPr id="17" name="Picture 1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514600" cy="646089"/>
                          </a:xfrm>
                          <a:prstGeom prst="rect"/>
                        </pic:spPr>
                      </pic:pic>
                    </a:graphicData>
                  </a:graphic>
                </wp:inline>
              </w:drawing>
            </w:r>
          </w:p>
        </w:tc>
      </w:tr>
    </w:tbl>
    <w:p>
      <w:pPr>
        <w:jc w:val="center"/>
      </w:pPr>
      <w:r>
        <w:rPr>
          <w:rFonts w:ascii="宋体" w:hAnsi="宋体" w:eastAsia="宋体"/>
          <w:sz w:val="21"/>
        </w:rPr>
        <w:t>图 6-5 pi5 m2 hat案例独立截图对比</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943100"/>
                  <wp:docPr id="14" name="Picture 1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514600" cy="1943100"/>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1248156"/>
                  <wp:docPr id="16" name="Picture 1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514600" cy="1248156"/>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1248156"/>
                  <wp:docPr id="17" name="Picture 1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514600" cy="1248156"/>
                          </a:xfrm>
                          <a:prstGeom prst="rect"/>
                        </pic:spPr>
                      </pic:pic>
                    </a:graphicData>
                  </a:graphic>
                </wp:inline>
              </w:drawing>
            </w:r>
          </w:p>
        </w:tc>
      </w:tr>
    </w:tbl>
    <w:p>
      <w:pPr>
        <w:jc w:val="center"/>
      </w:pPr>
      <w:r>
        <w:rPr>
          <w:rFonts w:ascii="宋体" w:hAnsi="宋体" w:eastAsia="宋体"/>
          <w:sz w:val="21"/>
        </w:rPr>
        <w:t>图 6-6 usb3 ngff carrier案例独立截图对比</w:t>
      </w:r>
    </w:p>
    <w:p/>
    <w:p>
      <w:pPr>
        <w:spacing w:lineRule="exact" w:line="400" w:after="120"/>
        <w:ind w:firstLine="420"/>
      </w:pPr>
      <w:r>
        <w:rPr>
          <w:sz w:val="24"/>
          <w:rFonts w:eastAsia="宋体" w:ascii="Times New Roman" w:hAnsi="Times New Roman"/>
        </w:rPr>
        <w:t>由表 6-4 可见，在7个公开EDA案例中，规则基线的平均布通率为72.94%，设计算法的平均布通率提升至100.00%；平均尾板面积占比由72.30%降低至27.80%，平均违规数由18.57降至0.00。其中，M.2/NGFF类高密度案例对规则基线形成较强约束，而设计算法仍能通过候选筛选、PSO-Hanan布点和拥塞感知布线保持完整布通。</w:t>
      </w:r>
    </w:p>
    <w:p>
      <w:pPr>
        <w:spacing w:lineRule="exact" w:line="400" w:after="120"/>
        <w:ind w:firstLine="420"/>
      </w:pPr>
      <w:r>
        <w:rPr>
          <w:sz w:val="24"/>
          <w:rFonts w:eastAsia="宋体" w:ascii="Times New Roman" w:hAnsi="Times New Roman"/>
        </w:rPr>
        <w:t>需要说明的是，公开EDA案例用于验证公开工程文件经轻量解析后的算法适应性，实验结论属于案例化验证，不等同于企业量产板卡的设计签核。真实生产仍需结合层叠、阻抗、过孔、差分等长和制造厂规则进行进一步合法化。</w:t>
      </w:r>
    </w:p>
    <w:p w14:paraId="64408DF6">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6.4 结果分析</w:t>
      </w:r>
    </w:p>
    <w:p w14:paraId="62C908E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Rule="exact" w:line="400" w:after="120" w:before="200"/>
        <w:jc w:val="left"/>
        <w:rPr>
          <w:color w:val="000000" w:themeColor="text1"/>
          <w14:textFill>
            <w14:solidFill>
              <w14:schemeClr w14:val="tx1"/>
            </w14:solidFill>
          </w14:textFill>
        </w:rPr>
      </w:pPr>
      <w:r>
        <w:rPr>
          <w:b/>
          <w:sz w:val="32"/>
          <w:rFonts w:eastAsia="黑体" w:ascii="Times New Roman" w:hAnsi="Times New Roman"/>
        </w:rPr>
        <w:t>6.5 消融实验与对比有效性分析</w:t>
      </w:r>
    </w:p>
    <w:p w14:paraId="73C553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表 6-5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296" w:type="dxa"/>
            <w:vAlign w:val="center"/>
          </w:tcPr>
          <w:p w14:paraId="360A9A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94.68</w:t>
            </w:r>
          </w:p>
        </w:tc>
        <w:tc>
          <w:tcPr>
            <w:tcW w:w="1296" w:type="dxa"/>
            <w:vAlign w:val="center"/>
          </w:tcPr>
          <w:p w14:paraId="5A7C2A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59.19</w:t>
            </w:r>
          </w:p>
        </w:tc>
        <w:tc>
          <w:tcPr>
            <w:tcW w:w="1296" w:type="dxa"/>
            <w:vAlign w:val="center"/>
          </w:tcPr>
          <w:p w14:paraId="1D2CD90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2014.40</w:t>
            </w:r>
          </w:p>
        </w:tc>
        <w:tc>
          <w:tcPr>
            <w:tcW w:w="1296" w:type="dxa"/>
            <w:vAlign w:val="center"/>
          </w:tcPr>
          <w:p w14:paraId="496F68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3.60</w:t>
            </w:r>
          </w:p>
        </w:tc>
        <w:tc>
          <w:tcPr>
            <w:tcW w:w="1296" w:type="dxa"/>
            <w:vAlign w:val="center"/>
          </w:tcPr>
          <w:p w14:paraId="5DA9DE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514.40</w:t>
            </w:r>
          </w:p>
        </w:tc>
        <w:tc>
          <w:tcPr>
            <w:tcW w:w="1296" w:type="dxa"/>
            <w:vAlign w:val="center"/>
          </w:tcPr>
          <w:p w14:paraId="62676AF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296" w:type="dxa"/>
            <w:vAlign w:val="center"/>
          </w:tcPr>
          <w:p w14:paraId="4012EC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1B5FE3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15.50</w:t>
            </w:r>
          </w:p>
        </w:tc>
        <w:tc>
          <w:tcPr>
            <w:tcW w:w="1296" w:type="dxa"/>
            <w:vAlign w:val="center"/>
          </w:tcPr>
          <w:p w14:paraId="7F15A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879.40</w:t>
            </w:r>
          </w:p>
        </w:tc>
        <w:tc>
          <w:tcPr>
            <w:tcW w:w="1296" w:type="dxa"/>
            <w:vAlign w:val="center"/>
          </w:tcPr>
          <w:p w14:paraId="0211F1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4.00</w:t>
            </w:r>
          </w:p>
        </w:tc>
        <w:tc>
          <w:tcPr>
            <w:tcW w:w="1296" w:type="dxa"/>
            <w:vAlign w:val="center"/>
          </w:tcPr>
          <w:p w14:paraId="636D8D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272.80</w:t>
            </w:r>
          </w:p>
        </w:tc>
        <w:tc>
          <w:tcPr>
            <w:tcW w:w="1296" w:type="dxa"/>
            <w:vAlign w:val="center"/>
          </w:tcPr>
          <w:p w14:paraId="413C536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296" w:type="dxa"/>
            <w:vAlign w:val="center"/>
          </w:tcPr>
          <w:p w14:paraId="37D046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2E274B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662F81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796.60</w:t>
            </w:r>
          </w:p>
        </w:tc>
        <w:tc>
          <w:tcPr>
            <w:tcW w:w="1296" w:type="dxa"/>
            <w:vAlign w:val="center"/>
          </w:tcPr>
          <w:p w14:paraId="746354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3.00</w:t>
            </w:r>
          </w:p>
        </w:tc>
        <w:tc>
          <w:tcPr>
            <w:tcW w:w="1296" w:type="dxa"/>
            <w:vAlign w:val="center"/>
          </w:tcPr>
          <w:p w14:paraId="25E3D3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240.00</w:t>
            </w:r>
          </w:p>
        </w:tc>
        <w:tc>
          <w:tcPr>
            <w:tcW w:w="1296" w:type="dxa"/>
            <w:vAlign w:val="center"/>
          </w:tcPr>
          <w:p w14:paraId="3AAFCA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42604B4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741C4C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838.60</w:t>
            </w:r>
          </w:p>
        </w:tc>
        <w:tc>
          <w:tcPr>
            <w:tcW w:w="1296" w:type="dxa"/>
            <w:vAlign w:val="center"/>
          </w:tcPr>
          <w:p w14:paraId="517277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2.80</w:t>
            </w:r>
          </w:p>
        </w:tc>
        <w:tc>
          <w:tcPr>
            <w:tcW w:w="1296" w:type="dxa"/>
            <w:vAlign w:val="center"/>
          </w:tcPr>
          <w:p w14:paraId="5E1B17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238.00</w:t>
            </w:r>
          </w:p>
        </w:tc>
        <w:tc>
          <w:tcPr>
            <w:tcW w:w="1296" w:type="dxa"/>
            <w:vAlign w:val="center"/>
          </w:tcPr>
          <w:p w14:paraId="7BAA68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bl>
    <w:p w14:paraId="4145EB0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6-5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6.6 参数与工程适用性讨论</w:t>
      </w:r>
    </w:p>
    <w:p w14:paraId="7024C3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pPr>
        <w:spacing w:lineRule="exact" w:line="400" w:after="120" w:before="0"/>
        <w:ind w:firstLine="420"/>
      </w:pPr>
      <w:r>
        <w:rPr>
          <w:b w:val="0"/>
          <w:sz w:val="24"/>
          <w:rFonts w:eastAsia="宋体" w:ascii="Times New Roman" w:hAnsi="Times New Roman"/>
        </w:rPr>
        <w:t>按照学校管理办法关于资料归档的要求，本课题形成了可归档的成果集合：毕业论文DOCX/PDF、C++17源代码工程、参数化案例CSV、公开EDA案例抽取数据、实验指标summary.csv、布线SVG/PNG截图、KiCad CLI导出原始PCB图以及实验报告。这些材料能够支撑答辩中对任务完成情况、理论依据、程序运行和数据可靠性的逐项说明。</w:t>
      </w:r>
    </w:p>
    <w:p w14:paraId="084E2C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7.2 不足与展望</w:t>
      </w:r>
    </w:p>
    <w:p w14:paraId="6100FF0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已完成公开KiCad原生板文件、Gerber层文件和Excellon/DRL钻孔文件的轻量级解析，并形成从公开EDA文件到算法CSV输入、布点布线结果和可视化证据的实验闭环。受本科毕业设计周期和公开数据条件限制，当前解析仍以公开工程和轻量制造文件字段为主，工业级交换格式、完整DRC约束和多层制造规则仍需在后续研究中进一步扩展。</w:t>
      </w:r>
    </w:p>
    <w:p w14:paraId="30A70EB7">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[14] IPC. IPC-A-600: Acceptability of printed boards[S]. Bannockburn: IPC, 2020.</w:t>
      </w:r>
    </w:p>
    <w:p w14:paraId="4A62645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cols w:space="720" w:num="1"/>
      <w:docGrid w:linePitch="360" w:charSpace="0"/>
      <w:pgNumType w:fmt="decimal"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b w:val="0"/>
        <w:sz w:val="21"/>
        <w:rFonts w:eastAsia="宋体" w:ascii="Times New Roman" w:hAnsi="Times New Roman"/>
      </w:rPr>
      <w:fldChar w:fldCharType="begin"/>
      <w:instrText xml:space="preserve">PAGE \* roman</w:instrText>
      <w:fldChar w:fldCharType="separate"/>
      <w:t>i</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b w:val="0"/>
        <w:sz w:val="21"/>
        <w:rFonts w:eastAsia="宋体" w:ascii="Times New Roman" w:hAnsi="Times New Roman"/>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b w:val="0"/>
        <w:sz w:val="21"/>
        <w:rFonts w:eastAsia="宋体" w:ascii="Times New Roman" w:hAnsi="Times New Roman"/>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2.xml"/><Relationship Id="rId25" Type="http://schemas.openxmlformats.org/officeDocument/2006/relationships/footer" Target="footer3.xml"/><Relationship Id="rId26" Type="http://schemas.openxmlformats.org/officeDocument/2006/relationships/header" Target="header3.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